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3568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E6356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734A18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18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5E52" w:rsidRPr="00AE7BCA" w:rsidRDefault="00AE7BCA" w:rsidP="00AE7BCA">
      <w:pPr>
        <w:pStyle w:val="a7"/>
        <w:spacing w:after="0"/>
        <w:jc w:val="center"/>
        <w:rPr>
          <w:b/>
          <w:color w:val="000000"/>
          <w:sz w:val="27"/>
          <w:szCs w:val="27"/>
          <w:lang w:eastAsia="ru-RU"/>
        </w:rPr>
      </w:pPr>
      <w:r w:rsidRPr="00AE7BCA">
        <w:rPr>
          <w:b/>
          <w:color w:val="000000"/>
          <w:sz w:val="27"/>
          <w:szCs w:val="27"/>
          <w:lang w:eastAsia="ru-RU"/>
        </w:rPr>
        <w:t>ПРОЕКТ РЕШЕНИЯ</w:t>
      </w:r>
    </w:p>
    <w:p w:rsidR="00AE7BCA" w:rsidRDefault="00AE7BCA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proofErr w:type="spellStart"/>
      <w:r w:rsidRPr="00E63568">
        <w:rPr>
          <w:sz w:val="28"/>
          <w:szCs w:val="28"/>
        </w:rPr>
        <w:t>Сальского</w:t>
      </w:r>
      <w:proofErr w:type="spellEnd"/>
      <w:r w:rsidRPr="00E63568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</w:t>
      </w:r>
      <w:proofErr w:type="gramStart"/>
      <w:r w:rsidRPr="00E63568">
        <w:rPr>
          <w:sz w:val="28"/>
          <w:szCs w:val="28"/>
        </w:rPr>
        <w:t>на</w:t>
      </w:r>
      <w:proofErr w:type="gramEnd"/>
      <w:r w:rsidRPr="00E63568">
        <w:rPr>
          <w:sz w:val="28"/>
          <w:szCs w:val="28"/>
        </w:rPr>
        <w:t xml:space="preserve"> плановый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A7A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4D" w:rsidRDefault="003D004D" w:rsidP="003D004D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proofErr w:type="gramEnd"/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D004D" w:rsidRDefault="003D004D" w:rsidP="003D004D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E52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E52" w:rsidRPr="00B42F90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4C5E52" w:rsidRPr="00B42F90" w:rsidRDefault="004C5E52" w:rsidP="004C5E5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4C5E52" w:rsidRDefault="004C5E52" w:rsidP="004C5E52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 xml:space="preserve">ления </w:t>
      </w:r>
      <w:proofErr w:type="spellStart"/>
      <w:r>
        <w:rPr>
          <w:b w:val="0"/>
          <w:sz w:val="28"/>
          <w:szCs w:val="28"/>
        </w:rPr>
        <w:t>Сальского</w:t>
      </w:r>
      <w:proofErr w:type="spellEnd"/>
      <w:r>
        <w:rPr>
          <w:b w:val="0"/>
          <w:sz w:val="28"/>
          <w:szCs w:val="28"/>
        </w:rPr>
        <w:t xml:space="preserve">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D63A7A" w:rsidRDefault="00D63A7A" w:rsidP="00D63A7A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63A7A" w:rsidRDefault="00D63A7A" w:rsidP="00D63A7A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12 325,5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12 499,0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D63A7A" w:rsidRDefault="00D63A7A" w:rsidP="00D63A7A">
      <w:pPr>
        <w:pStyle w:val="1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1 126,0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1 299,5</w:t>
      </w:r>
      <w:r w:rsidRPr="0020766C">
        <w:rPr>
          <w:rFonts w:ascii="Times New Roman" w:hAnsi="Times New Roman" w:cs="Times New Roman"/>
          <w:sz w:val="28"/>
          <w:szCs w:val="28"/>
        </w:rPr>
        <w:t>»;</w:t>
      </w:r>
    </w:p>
    <w:p w:rsidR="00D63A7A" w:rsidRDefault="00D63A7A" w:rsidP="00D63A7A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дополнить статьей 8  следующего содержания</w:t>
      </w:r>
    </w:p>
    <w:p w:rsidR="00D63A7A" w:rsidRPr="00D63A7A" w:rsidRDefault="00D63A7A" w:rsidP="00D63A7A">
      <w:pPr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D63A7A">
        <w:rPr>
          <w:rFonts w:ascii="Times New Roman" w:hAnsi="Times New Roman" w:cs="Times New Roman"/>
          <w:color w:val="000000" w:themeColor="text1"/>
          <w:sz w:val="28"/>
        </w:rPr>
        <w:t xml:space="preserve"> «Статья </w:t>
      </w:r>
      <w:r>
        <w:rPr>
          <w:rFonts w:ascii="Times New Roman" w:hAnsi="Times New Roman" w:cs="Times New Roman"/>
          <w:color w:val="000000" w:themeColor="text1"/>
          <w:sz w:val="28"/>
        </w:rPr>
        <w:t>8</w:t>
      </w:r>
      <w:r w:rsidRPr="00D63A7A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D63A7A">
        <w:rPr>
          <w:rFonts w:ascii="Times New Roman" w:hAnsi="Times New Roman" w:cs="Times New Roman"/>
          <w:b/>
          <w:sz w:val="28"/>
        </w:rPr>
        <w:t>Средства, подлежащие казначейскому сопровождению, предоставляемые из местного бюджета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color w:val="FF0000"/>
          <w:sz w:val="28"/>
        </w:rPr>
      </w:pP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 xml:space="preserve">1.  Установить, что в 2022 году Управление Федерального казначейства по Ростовской области осуществляет казначейское сопровождение на основании передачи отдельных функций </w:t>
      </w:r>
      <w:r w:rsidR="00262A44">
        <w:rPr>
          <w:rFonts w:ascii="Times New Roman" w:hAnsi="Times New Roman" w:cs="Times New Roman"/>
          <w:sz w:val="28"/>
        </w:rPr>
        <w:t xml:space="preserve">Администрации Манычского сельского поселения </w:t>
      </w:r>
      <w:proofErr w:type="spellStart"/>
      <w:r w:rsidRPr="00D63A7A">
        <w:rPr>
          <w:rFonts w:ascii="Times New Roman" w:hAnsi="Times New Roman" w:cs="Times New Roman"/>
          <w:sz w:val="28"/>
        </w:rPr>
        <w:t>Сальского</w:t>
      </w:r>
      <w:proofErr w:type="spellEnd"/>
      <w:r w:rsidRPr="00D63A7A">
        <w:rPr>
          <w:rFonts w:ascii="Times New Roman" w:hAnsi="Times New Roman" w:cs="Times New Roman"/>
          <w:sz w:val="28"/>
        </w:rPr>
        <w:t xml:space="preserve">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262A44">
        <w:rPr>
          <w:rFonts w:ascii="Times New Roman" w:hAnsi="Times New Roman" w:cs="Times New Roman"/>
          <w:sz w:val="28"/>
        </w:rPr>
        <w:t xml:space="preserve">Манычского сельского поселения </w:t>
      </w:r>
      <w:proofErr w:type="spellStart"/>
      <w:r w:rsidRPr="00D63A7A">
        <w:rPr>
          <w:rFonts w:ascii="Times New Roman" w:hAnsi="Times New Roman" w:cs="Times New Roman"/>
          <w:sz w:val="28"/>
        </w:rPr>
        <w:t>Сальского</w:t>
      </w:r>
      <w:proofErr w:type="spellEnd"/>
      <w:r w:rsidRPr="00D63A7A">
        <w:rPr>
          <w:rFonts w:ascii="Times New Roman" w:hAnsi="Times New Roman" w:cs="Times New Roman"/>
          <w:sz w:val="28"/>
        </w:rPr>
        <w:t xml:space="preserve"> района.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>2. Казначейскому сопровождению подлежат средства, получаемые на основании муниципальных контрактов, договоров (соглашений), заключаемых начиная с 2022 года: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>1)  авансы и расчеты по муниципальным контрактам, заключаемым на сумму более 50 000,0 тыс.  рублей;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D63A7A" w:rsidRPr="00D63A7A" w:rsidRDefault="00D63A7A" w:rsidP="00D63A7A">
      <w:pPr>
        <w:pStyle w:val="ab"/>
        <w:suppressAutoHyphens w:val="0"/>
        <w:ind w:left="64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63A7A">
        <w:rPr>
          <w:rFonts w:ascii="Times New Roman" w:hAnsi="Times New Roman" w:cs="Times New Roman"/>
          <w:sz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D63A7A">
        <w:rPr>
          <w:rFonts w:ascii="Times New Roman" w:hAnsi="Times New Roman" w:cs="Times New Roman"/>
          <w:color w:val="000000" w:themeColor="text1"/>
          <w:sz w:val="28"/>
        </w:rPr>
        <w:t>«</w:t>
      </w:r>
      <w:r w:rsidRPr="00D63A7A">
        <w:rPr>
          <w:rFonts w:ascii="Times New Roman" w:hAnsi="Times New Roman" w:cs="Times New Roman"/>
          <w:sz w:val="28"/>
        </w:rPr>
        <w:t>О правилах казначейского сопровождения</w:t>
      </w:r>
      <w:r w:rsidRPr="00D63A7A">
        <w:rPr>
          <w:rFonts w:ascii="Times New Roman" w:hAnsi="Times New Roman" w:cs="Times New Roman"/>
          <w:color w:val="000000" w:themeColor="text1"/>
          <w:sz w:val="28"/>
        </w:rPr>
        <w:t>»</w:t>
      </w:r>
      <w:proofErr w:type="gramStart"/>
      <w:r w:rsidRPr="00D63A7A">
        <w:rPr>
          <w:rFonts w:ascii="Times New Roman" w:hAnsi="Times New Roman" w:cs="Times New Roman"/>
          <w:color w:val="000000" w:themeColor="text1"/>
          <w:sz w:val="28"/>
        </w:rPr>
        <w:t>.»</w:t>
      </w:r>
      <w:proofErr w:type="gramEnd"/>
      <w:r w:rsidRPr="00D63A7A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23C87" w:rsidRDefault="00C04AB7" w:rsidP="00C04AB7">
      <w:pPr>
        <w:pStyle w:val="1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</w:pPr>
      <w:r w:rsidRPr="00C04AB7">
        <w:rPr>
          <w:rFonts w:ascii="Times New Roman" w:hAnsi="Times New Roman" w:cs="Times New Roman"/>
          <w:sz w:val="28"/>
          <w:szCs w:val="28"/>
        </w:rPr>
        <w:t xml:space="preserve">в </w:t>
      </w:r>
      <w:r w:rsidR="004C5E52" w:rsidRPr="00C04AB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23C87" w:rsidRPr="00C04AB7">
        <w:rPr>
          <w:rFonts w:ascii="Times New Roman" w:hAnsi="Times New Roman" w:cs="Times New Roman"/>
          <w:sz w:val="28"/>
          <w:szCs w:val="28"/>
        </w:rPr>
        <w:t>1</w:t>
      </w:r>
      <w:r w:rsidR="004C5E52" w:rsidRPr="00C04AB7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Pr="00C04AB7">
        <w:rPr>
          <w:rFonts w:ascii="Times New Roman" w:hAnsi="Times New Roman" w:cs="Times New Roman"/>
          <w:sz w:val="28"/>
          <w:szCs w:val="28"/>
        </w:rPr>
        <w:t xml:space="preserve">Собрания депутатов Манычского сельского поселения «О бюджете Манычского сельского поселения </w:t>
      </w:r>
      <w:proofErr w:type="spellStart"/>
      <w:r w:rsidRPr="00C04AB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C04AB7">
        <w:rPr>
          <w:rFonts w:ascii="Times New Roman" w:hAnsi="Times New Roman" w:cs="Times New Roman"/>
          <w:sz w:val="28"/>
          <w:szCs w:val="28"/>
        </w:rPr>
        <w:t xml:space="preserve"> района на 2022 год и на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37FB">
        <w:rPr>
          <w:rFonts w:ascii="Times New Roman" w:hAnsi="Times New Roman" w:cs="Times New Roman"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A37FB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A37F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A37FB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Pr="00504FE0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sectPr w:rsidR="00423C87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465527" w:rsidRDefault="00465527" w:rsidP="00423C87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63710F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134" w:type="dxa"/>
              <w:tblLayout w:type="fixed"/>
              <w:tblLook w:val="0000"/>
            </w:tblPr>
            <w:tblGrid>
              <w:gridCol w:w="2977"/>
              <w:gridCol w:w="8363"/>
              <w:gridCol w:w="1183"/>
              <w:gridCol w:w="1237"/>
              <w:gridCol w:w="1344"/>
              <w:gridCol w:w="30"/>
            </w:tblGrid>
            <w:tr w:rsidR="00423C87" w:rsidRPr="00AA37FB" w:rsidTr="00423C87">
              <w:trPr>
                <w:gridAfter w:val="1"/>
                <w:wAfter w:w="30" w:type="dxa"/>
                <w:trHeight w:val="375"/>
              </w:trPr>
              <w:tc>
                <w:tcPr>
                  <w:tcW w:w="15104" w:type="dxa"/>
                  <w:gridSpan w:val="5"/>
                </w:tcPr>
                <w:p w:rsidR="00423C87" w:rsidRPr="00AA37FB" w:rsidRDefault="00C04AB7" w:rsidP="00C04AB7">
                  <w:pPr>
                    <w:framePr w:hSpace="180" w:wrap="around" w:vAnchor="page" w:hAnchor="margin" w:y="1036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а) строки</w:t>
                  </w:r>
                </w:p>
              </w:tc>
            </w:tr>
            <w:tr w:rsidR="00423C87" w:rsidRPr="00AA37FB" w:rsidTr="00423C87">
              <w:trPr>
                <w:gridAfter w:val="1"/>
                <w:wAfter w:w="30" w:type="dxa"/>
                <w:trHeight w:val="375"/>
              </w:trPr>
              <w:tc>
                <w:tcPr>
                  <w:tcW w:w="15104" w:type="dxa"/>
                  <w:gridSpan w:val="5"/>
                  <w:vAlign w:val="bottom"/>
                </w:tcPr>
                <w:p w:rsidR="00423C87" w:rsidRPr="00AA37FB" w:rsidRDefault="00423C87" w:rsidP="00C04AB7">
                  <w:pPr>
                    <w:framePr w:hSpace="180" w:wrap="around" w:vAnchor="page" w:hAnchor="margin" w:y="1036"/>
                    <w:spacing w:after="0" w:line="240" w:lineRule="auto"/>
                    <w:jc w:val="right"/>
                  </w:pPr>
                </w:p>
              </w:tc>
            </w:tr>
            <w:tr w:rsidR="00C04AB7" w:rsidRPr="00900371" w:rsidTr="00C04AB7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AB7" w:rsidRPr="00423C87" w:rsidRDefault="00C04AB7" w:rsidP="00423C87">
                  <w:pPr>
                    <w:framePr w:hSpace="180" w:wrap="around" w:vAnchor="page" w:hAnchor="margin" w:y="103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3C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AB7" w:rsidRPr="00900371" w:rsidRDefault="00C04AB7" w:rsidP="00C04AB7">
                  <w:pPr>
                    <w:pStyle w:val="3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4AB7" w:rsidRPr="00900371" w:rsidRDefault="00C04AB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4AB7" w:rsidRPr="00900371" w:rsidRDefault="00C04AB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4AB7" w:rsidRPr="00900371" w:rsidRDefault="00C04AB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103,1</w:t>
                  </w:r>
                </w:p>
              </w:tc>
            </w:tr>
            <w:tr w:rsidR="00423C87" w:rsidRPr="00633408" w:rsidTr="00C04AB7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C87" w:rsidRPr="00423C87" w:rsidRDefault="00423C87" w:rsidP="00423C87">
                  <w:pPr>
                    <w:framePr w:hSpace="180" w:wrap="around" w:vAnchor="page" w:hAnchor="margin" w:y="103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3C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C87" w:rsidRPr="00423C87" w:rsidRDefault="00C04AB7" w:rsidP="00C04AB7">
                  <w:pPr>
                    <w:framePr w:hSpace="180" w:wrap="around" w:vAnchor="page" w:hAnchor="margin" w:y="103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C87" w:rsidRPr="00900371" w:rsidRDefault="00423C8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C87" w:rsidRPr="00900371" w:rsidRDefault="00423C8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C87" w:rsidRPr="00900371" w:rsidRDefault="00423C8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103,1</w:t>
                  </w:r>
                </w:p>
              </w:tc>
            </w:tr>
          </w:tbl>
          <w:p w:rsidR="00423C87" w:rsidRDefault="00423C87" w:rsidP="00423C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B7" w:rsidRDefault="00C04AB7" w:rsidP="00C04AB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BE">
              <w:rPr>
                <w:rFonts w:ascii="Times New Roman" w:hAnsi="Times New Roman" w:cs="Times New Roman"/>
                <w:sz w:val="28"/>
                <w:szCs w:val="28"/>
              </w:rPr>
              <w:t>изложить  в  следующей  редакции:</w:t>
            </w:r>
          </w:p>
          <w:tbl>
            <w:tblPr>
              <w:tblStyle w:val="af6"/>
              <w:tblW w:w="0" w:type="auto"/>
              <w:tblLayout w:type="fixed"/>
              <w:tblLook w:val="04A0"/>
            </w:tblPr>
            <w:tblGrid>
              <w:gridCol w:w="3021"/>
              <w:gridCol w:w="8314"/>
              <w:gridCol w:w="1134"/>
              <w:gridCol w:w="1276"/>
              <w:gridCol w:w="1364"/>
            </w:tblGrid>
            <w:tr w:rsidR="00C04AB7" w:rsidRPr="00C04AB7" w:rsidTr="00C04AB7">
              <w:tc>
                <w:tcPr>
                  <w:tcW w:w="3021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314" w:type="dxa"/>
                  <w:vAlign w:val="center"/>
                </w:tcPr>
                <w:p w:rsidR="00C04AB7" w:rsidRPr="00C04AB7" w:rsidRDefault="00C04AB7" w:rsidP="00C04AB7">
                  <w:pPr>
                    <w:framePr w:hSpace="180" w:wrap="around" w:vAnchor="page" w:hAnchor="margin" w:y="103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04A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64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103,1</w:t>
                  </w:r>
                </w:p>
              </w:tc>
            </w:tr>
            <w:tr w:rsidR="00C04AB7" w:rsidRPr="00C04AB7" w:rsidTr="00C04AB7">
              <w:tc>
                <w:tcPr>
                  <w:tcW w:w="3021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314" w:type="dxa"/>
                  <w:vAlign w:val="center"/>
                </w:tcPr>
                <w:p w:rsidR="00C04AB7" w:rsidRPr="00C04AB7" w:rsidRDefault="00C04AB7" w:rsidP="00C04AB7">
                  <w:pPr>
                    <w:framePr w:hSpace="180" w:wrap="around" w:vAnchor="page" w:hAnchor="margin" w:y="103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04A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64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103,1</w:t>
                  </w:r>
                </w:p>
              </w:tc>
            </w:tr>
          </w:tbl>
          <w:p w:rsidR="00C04AB7" w:rsidRDefault="00C04AB7" w:rsidP="00423C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87" w:rsidRDefault="00423C87" w:rsidP="00423C8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к решению изложить в следующей редакции: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</w:t>
            </w:r>
            <w:proofErr w:type="spellStart"/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района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63710F" w:rsidRPr="00A770E1" w:rsidRDefault="0063710F" w:rsidP="0063710F">
            <w:pPr>
              <w:spacing w:after="0" w:line="240" w:lineRule="auto"/>
              <w:jc w:val="center"/>
            </w:pPr>
          </w:p>
        </w:tc>
      </w:tr>
      <w:tr w:rsidR="0063710F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10F" w:rsidRDefault="0063710F" w:rsidP="00941746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Манычского сельского поселения  и </w:t>
            </w:r>
            <w:proofErr w:type="spellStart"/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непрограммным</w:t>
            </w:r>
            <w:proofErr w:type="spellEnd"/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2022 год и на плановый период 2023 и 2024  годы</w:t>
            </w:r>
          </w:p>
          <w:p w:rsidR="00907965" w:rsidRPr="00A770E1" w:rsidRDefault="00941746" w:rsidP="0094174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9079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  <w:tr w:rsidR="0063710F" w:rsidRPr="00FB5AF3" w:rsidTr="00AA34A0">
        <w:trPr>
          <w:trHeight w:val="270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vMerge/>
            <w:shd w:val="clear" w:color="auto" w:fill="auto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C04A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04AB7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DC43CB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F23B1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FC7365" w:rsidP="00C04A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C04AB7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  <w:r w:rsidR="00DC43CB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BE0CF9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13268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F23B1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63710F" w:rsidRPr="00FB5AF3" w:rsidTr="0063710F">
        <w:trPr>
          <w:trHeight w:val="1709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1066,</w:t>
            </w:r>
            <w:r w:rsidR="00913432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63710F" w:rsidRPr="00FB5AF3" w:rsidTr="0063710F">
        <w:trPr>
          <w:trHeight w:val="1413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444B9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3432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10F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63710F" w:rsidRPr="00FB5AF3" w:rsidTr="0063710F">
        <w:trPr>
          <w:trHeight w:val="1149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63710F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8E1622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63710F" w:rsidRPr="00FB5AF3" w:rsidTr="00FB5AF3">
        <w:trPr>
          <w:trHeight w:val="1411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63710F" w:rsidRPr="00FB5AF3" w:rsidTr="0063710F">
        <w:trPr>
          <w:trHeight w:val="273"/>
        </w:trPr>
        <w:tc>
          <w:tcPr>
            <w:tcW w:w="7088" w:type="dxa"/>
            <w:shd w:val="clear" w:color="auto" w:fill="auto"/>
            <w:vAlign w:val="bottom"/>
          </w:tcPr>
          <w:p w:rsidR="0063710F" w:rsidRPr="00941746" w:rsidRDefault="0063710F" w:rsidP="005D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</w:t>
            </w:r>
            <w:proofErr w:type="gram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C7365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5D0C81" w:rsidP="00FC736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BE0CF9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5C52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4C1B62" w:rsidP="003D425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63710F" w:rsidRPr="00FB5AF3" w:rsidTr="00FB5AF3">
        <w:trPr>
          <w:trHeight w:val="869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5D0C81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44B94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C8B" w:rsidRPr="00FB5AF3" w:rsidTr="005D0C81">
        <w:trPr>
          <w:trHeight w:val="274"/>
        </w:trPr>
        <w:tc>
          <w:tcPr>
            <w:tcW w:w="7088" w:type="dxa"/>
            <w:shd w:val="clear" w:color="auto" w:fill="auto"/>
          </w:tcPr>
          <w:p w:rsidR="00640C8B" w:rsidRPr="00941746" w:rsidRDefault="00640C8B" w:rsidP="009417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</w:t>
            </w:r>
            <w:proofErr w:type="gram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41746">
              <w:t xml:space="preserve"> </w:t>
            </w:r>
            <w:proofErr w:type="gramEnd"/>
            <w:r w:rsidR="00941746"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(Прочая закупка товаров, работ и услуг)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941746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941746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40C8B" w:rsidRPr="00941746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40C8B" w:rsidRPr="00941746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941746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941746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40C8B" w:rsidRPr="00941746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5AF3" w:rsidRPr="00FB5AF3" w:rsidTr="00941746">
        <w:trPr>
          <w:trHeight w:val="2258"/>
        </w:trPr>
        <w:tc>
          <w:tcPr>
            <w:tcW w:w="7088" w:type="dxa"/>
            <w:shd w:val="clear" w:color="auto" w:fill="auto"/>
          </w:tcPr>
          <w:p w:rsidR="00FB5AF3" w:rsidRPr="00941746" w:rsidRDefault="00705D1E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941746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941746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B5AF3" w:rsidRPr="00941746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FB5AF3" w:rsidRPr="00941746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941746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941746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FB5AF3" w:rsidRPr="00941746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70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FB5AF3">
        <w:trPr>
          <w:trHeight w:val="844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внешнего муниципального финансового контроля  в рамках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137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</w:t>
            </w:r>
            <w:proofErr w:type="spellStart"/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 w:rsidR="005D0C81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Манычскогоо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  <w:r w:rsidR="0063710F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5D0C8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мероприятиям в рамках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 w:rsidR="005D0C81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платежей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3710F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05202C" w:rsidRPr="00941746" w:rsidRDefault="0005202C" w:rsidP="005D0C8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31" w:type="dxa"/>
            <w:shd w:val="clear" w:color="auto" w:fill="auto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FC7365">
        <w:trPr>
          <w:trHeight w:val="1968"/>
        </w:trPr>
        <w:tc>
          <w:tcPr>
            <w:tcW w:w="7088" w:type="dxa"/>
            <w:shd w:val="clear" w:color="auto" w:fill="auto"/>
          </w:tcPr>
          <w:p w:rsidR="0005202C" w:rsidRPr="00941746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="0005202C"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63710F">
        <w:trPr>
          <w:trHeight w:val="493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FB5AF3">
        <w:trPr>
          <w:trHeight w:val="766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63710F">
        <w:trPr>
          <w:trHeight w:val="700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</w:t>
            </w:r>
            <w:r w:rsidR="00FC7365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907965">
        <w:trPr>
          <w:trHeight w:val="290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907965">
        <w:trPr>
          <w:trHeight w:val="412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63710F">
        <w:trPr>
          <w:trHeight w:val="324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 w:rsidR="00FC7365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63710F">
        <w:trPr>
          <w:trHeight w:val="324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FC7365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2569,6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05202C" w:rsidRPr="00FB5AF3" w:rsidTr="0063710F">
        <w:trPr>
          <w:trHeight w:val="272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05202C" w:rsidRPr="00FB5AF3" w:rsidTr="00FB5AF3">
        <w:trPr>
          <w:trHeight w:val="2060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proofErr w:type="gramStart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FC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05202C" w:rsidRPr="00FB5AF3" w:rsidTr="00FC7365">
        <w:trPr>
          <w:trHeight w:val="1469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FC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</w:t>
            </w:r>
            <w:r w:rsidR="00FC7365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(Прочая закупка товаров, работ и услуг)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FC7365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1409,1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96913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941746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05202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941746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05202C" w:rsidRPr="00FB5AF3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05202C" w:rsidRPr="00927130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="00970649"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941746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1B57D9" w:rsidRPr="00927130" w:rsidTr="00110474">
        <w:trPr>
          <w:trHeight w:val="274"/>
        </w:trPr>
        <w:tc>
          <w:tcPr>
            <w:tcW w:w="7088" w:type="dxa"/>
            <w:shd w:val="clear" w:color="auto" w:fill="auto"/>
          </w:tcPr>
          <w:p w:rsidR="001B57D9" w:rsidRPr="00941746" w:rsidRDefault="001B57D9" w:rsidP="001B5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(Субсидии бюджетным 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B57D9" w:rsidRPr="00941746" w:rsidRDefault="001B57D9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="00970649"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63710F">
        <w:trPr>
          <w:trHeight w:val="360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FB5AF3">
        <w:trPr>
          <w:trHeight w:val="1574"/>
        </w:trPr>
        <w:tc>
          <w:tcPr>
            <w:tcW w:w="7088" w:type="dxa"/>
            <w:shd w:val="clear" w:color="auto" w:fill="auto"/>
            <w:vAlign w:val="bottom"/>
          </w:tcPr>
          <w:p w:rsidR="0005202C" w:rsidRPr="00941746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F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</w:t>
            </w:r>
            <w:r w:rsidR="00F11004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941746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13418,3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D141E3" w:rsidRDefault="00D141E3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решению изложить в следующей редакции:</w:t>
      </w:r>
    </w:p>
    <w:p w:rsidR="00E14BAA" w:rsidRPr="001502BE" w:rsidRDefault="004655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 w:rsidR="00936A7F">
        <w:rPr>
          <w:rFonts w:ascii="Times New Roman" w:hAnsi="Times New Roman" w:cs="Times New Roman"/>
          <w:sz w:val="28"/>
          <w:szCs w:val="28"/>
        </w:rPr>
        <w:t>4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9936D6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2B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1502BE">
        <w:rPr>
          <w:rFonts w:ascii="Times New Roman" w:hAnsi="Times New Roman" w:cs="Times New Roman"/>
          <w:sz w:val="28"/>
          <w:szCs w:val="28"/>
        </w:rPr>
        <w:t xml:space="preserve">  района  на </w:t>
      </w:r>
      <w:r w:rsidRPr="009936D6">
        <w:rPr>
          <w:rFonts w:ascii="Times New Roman" w:hAnsi="Times New Roman" w:cs="Times New Roman"/>
          <w:sz w:val="28"/>
          <w:szCs w:val="28"/>
        </w:rPr>
        <w:t>20</w:t>
      </w:r>
      <w:r w:rsidR="000D79B2" w:rsidRPr="009936D6">
        <w:rPr>
          <w:rFonts w:ascii="Times New Roman" w:hAnsi="Times New Roman" w:cs="Times New Roman"/>
          <w:sz w:val="28"/>
          <w:szCs w:val="28"/>
        </w:rPr>
        <w:t>2</w:t>
      </w:r>
      <w:r w:rsidR="00705D1E" w:rsidRPr="009936D6">
        <w:rPr>
          <w:rFonts w:ascii="Times New Roman" w:hAnsi="Times New Roman" w:cs="Times New Roman"/>
          <w:sz w:val="28"/>
          <w:szCs w:val="28"/>
        </w:rPr>
        <w:t>2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05D1E" w:rsidRPr="009936D6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705D1E" w:rsidRPr="009936D6">
        <w:rPr>
          <w:rFonts w:ascii="Times New Roman" w:hAnsi="Times New Roman" w:cs="Times New Roman"/>
          <w:sz w:val="28"/>
          <w:szCs w:val="28"/>
        </w:rPr>
        <w:t>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</w:t>
      </w:r>
      <w:r w:rsidR="008A5AFE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годы</w:t>
      </w:r>
    </w:p>
    <w:p w:rsidR="00907965" w:rsidRPr="00A770E1" w:rsidRDefault="009079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2659E" w:rsidRPr="00FB5AF3" w:rsidTr="00891737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D461D9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41746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4C1B6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50F28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41746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4C1B6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Главе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659E" w:rsidRPr="00FB5AF3" w:rsidTr="004C1B6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2659E" w:rsidRPr="00FB5AF3" w:rsidTr="00FB5AF3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D6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Манычского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9564C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3035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2659E" w:rsidRPr="00FB5AF3" w:rsidTr="00FB5AF3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2659E" w:rsidRPr="00FB5AF3" w:rsidTr="00B93783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4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41746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F23B1F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2659E" w:rsidRPr="00FB5AF3" w:rsidTr="00FB5AF3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B133E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4174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13035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AF0E8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AF3" w:rsidRPr="00FB5AF3" w:rsidTr="00941746">
        <w:trPr>
          <w:trHeight w:val="2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3" w:rsidRPr="00FB5AF3" w:rsidRDefault="00FB5AF3" w:rsidP="009417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</w:t>
            </w:r>
            <w:r w:rsidR="00941746"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13D9A" w:rsidRPr="00FB5AF3" w:rsidTr="00465527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3D9A" w:rsidRPr="00FB5AF3" w:rsidRDefault="00E13D9A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59E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3EF9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3EF9" w:rsidRPr="00FB5AF3" w:rsidRDefault="003E3EF9" w:rsidP="009E01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Манычскогоо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05202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659E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="00EB3394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891737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05202C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202C" w:rsidRPr="00FB5AF3" w:rsidRDefault="0005202C" w:rsidP="0094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платежей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05202C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="00D752E6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05202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752E6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8C0" w:rsidRPr="00FB5AF3" w:rsidTr="00941746">
        <w:trPr>
          <w:trHeight w:val="2165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08C0" w:rsidRPr="00941746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941746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941746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D752E6" w:rsidRPr="00FB5AF3" w:rsidTr="00E13D9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4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75627F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91737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737" w:rsidRPr="00FB5AF3" w:rsidRDefault="0089173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D752E6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арственных 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4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D752E6" w:rsidRPr="00FB5AF3" w:rsidTr="00891737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</w:t>
            </w:r>
            <w:proofErr w:type="gram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941746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3E3EF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«Муниципальная политика»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C43CB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52E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FB5AF3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141E3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05202C" w:rsidRPr="004C1B62" w:rsidTr="0005202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941746" w:rsidRDefault="0005202C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="00970649"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02C" w:rsidRPr="004C1B62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110474" w:rsidRPr="00FB5AF3" w:rsidTr="003E3EF9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F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</w:t>
            </w:r>
            <w:r w:rsidR="00F11004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D141E3" w:rsidRDefault="00F23B1F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41E3">
        <w:rPr>
          <w:rFonts w:ascii="Times New Roman" w:hAnsi="Times New Roman" w:cs="Times New Roman"/>
          <w:sz w:val="28"/>
          <w:szCs w:val="28"/>
        </w:rPr>
        <w:t>риложение 5 к решению изложить в следующей редакции:</w:t>
      </w: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 w:rsidR="00936A7F">
        <w:rPr>
          <w:rFonts w:ascii="Times New Roman" w:hAnsi="Times New Roman"/>
          <w:sz w:val="28"/>
          <w:szCs w:val="28"/>
        </w:rPr>
        <w:t>5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2B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1502BE">
        <w:rPr>
          <w:rFonts w:ascii="Times New Roman" w:hAnsi="Times New Roman"/>
          <w:sz w:val="28"/>
          <w:szCs w:val="28"/>
        </w:rPr>
        <w:t xml:space="preserve">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39564C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E3EF9" w:rsidRDefault="003E3EF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8B2D97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и </w:t>
      </w:r>
      <w:proofErr w:type="spellStart"/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непрограммным</w:t>
      </w:r>
      <w:proofErr w:type="spellEnd"/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</w:t>
      </w:r>
    </w:p>
    <w:p w:rsidR="00907965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315248" w:rsidRPr="00FB5AF3" w:rsidTr="00566F66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15248" w:rsidRPr="00FB5AF3" w:rsidTr="00566F66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15248" w:rsidRPr="00FB5AF3" w:rsidTr="00566F66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FB5AF3" w:rsidRDefault="00315248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94174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46552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15C4" w:rsidRPr="00FB5AF3" w:rsidTr="00566F66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41746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566F66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41746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566F66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746">
              <w:t xml:space="preserve">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883DD7" w:rsidP="0094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7A53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5F15C4" w:rsidRPr="00FB5AF3" w:rsidTr="00566F66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r w:rsidR="00941746">
              <w:t xml:space="preserve">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41746" w:rsidP="008D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5F15C4" w:rsidRPr="00FB5AF3" w:rsidTr="00566F66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людей на водных объектах»</w:t>
            </w:r>
            <w:r w:rsidR="00941746">
              <w:t xml:space="preserve">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1F31E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«Развитие культуры в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566F66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</w:t>
            </w: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 w:rsidR="001B6F64">
              <w:t xml:space="preserve"> </w:t>
            </w:r>
            <w:r w:rsidR="001B6F64"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8D6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8D62D7" w:rsidRDefault="008D62D7" w:rsidP="008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927130" w:rsidRDefault="008D62D7" w:rsidP="008D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1B6F64" w:rsidRDefault="008D62D7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="00970649"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1B6F64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8D62D7" w:rsidRPr="00FB5AF3" w:rsidTr="00566F66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8D62D7" w:rsidRPr="00FB5AF3" w:rsidTr="00566F66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62D7" w:rsidRPr="00FB5AF3" w:rsidTr="00566F66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D62D7" w:rsidRPr="00FB5AF3" w:rsidTr="00566F66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8D62D7" w:rsidRDefault="00B1381B" w:rsidP="00DC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8D62D7" w:rsidRDefault="008D62D7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8D62D7" w:rsidRDefault="00F23B1F" w:rsidP="008B2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8D62D7" w:rsidRPr="00FB5AF3" w:rsidTr="00566F66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1B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  <w:r w:rsidRPr="00D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8D62D7" w:rsidRPr="00FB5AF3" w:rsidTr="00566F66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8D62D7" w:rsidRPr="00FB5AF3" w:rsidTr="00566F66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8D62D7" w:rsidRPr="00FB5AF3" w:rsidTr="001B6F64">
        <w:trPr>
          <w:trHeight w:val="149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</w:t>
            </w:r>
            <w:r w:rsidR="001B6F64">
              <w:t xml:space="preserve"> </w:t>
            </w:r>
            <w:r w:rsidR="001B6F64"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1B6F64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  <w:r w:rsidR="008D62D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F23B1F" w:rsidP="00CC0A1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8D62D7" w:rsidRPr="00FB5AF3" w:rsidTr="00566F66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1B6F6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D62D7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8C0" w:rsidRPr="00FB5AF3" w:rsidTr="001B6F64">
        <w:trPr>
          <w:trHeight w:val="223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C0" w:rsidRPr="001B6F64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1B6F64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1B6F64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1B6F64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1B6F64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8C0" w:rsidRPr="001B6F64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8C0" w:rsidRPr="001B6F64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8D62D7" w:rsidRPr="00FB5AF3" w:rsidTr="001B6F64">
        <w:trPr>
          <w:trHeight w:val="55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1B6F64" w:rsidRDefault="008D62D7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самоуправления Манычского сельского поселения </w:t>
            </w:r>
            <w:r w:rsidR="001B6F64">
              <w:t xml:space="preserve"> </w:t>
            </w:r>
            <w:r w:rsidR="001B6F64"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D62D7" w:rsidRPr="00FB5AF3" w:rsidTr="00566F66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1F31EB" w:rsidRDefault="008D62D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1F31EB" w:rsidRDefault="008D62D7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8D62D7" w:rsidRPr="00FB5AF3" w:rsidTr="00566F66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2D7" w:rsidRPr="00FB5AF3" w:rsidTr="00566F66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 Манычского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01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2D7" w:rsidRPr="00FB5AF3" w:rsidTr="00566F66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705D1E" w:rsidRDefault="008D62D7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705D1E" w:rsidRDefault="008D62D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110474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F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</w:t>
            </w:r>
            <w:r w:rsidR="00F11004"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474" w:rsidRPr="001B6F64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474" w:rsidRPr="00FB5AF3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D62D7" w:rsidRPr="00FB5AF3" w:rsidTr="00566F66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D7" w:rsidRPr="00FB5AF3" w:rsidRDefault="008D62D7" w:rsidP="009E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 w:rsidR="001B6F64">
              <w:t xml:space="preserve"> </w:t>
            </w:r>
            <w:r w:rsidR="001B6F64"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8D62D7" w:rsidRPr="00FB5AF3" w:rsidTr="00566F66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2D7" w:rsidRPr="00FB5AF3" w:rsidRDefault="008D62D7" w:rsidP="009E01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 w:rsidR="001B6F64">
              <w:t xml:space="preserve"> </w:t>
            </w:r>
            <w:r w:rsidR="001B6F64"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62D7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56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1B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B6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Default="00566F66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56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платежей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  <w:proofErr w:type="spellEnd"/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 w:rsidR="008C4D2F">
        <w:rPr>
          <w:rFonts w:ascii="Times New Roman" w:hAnsi="Times New Roman" w:cs="Times New Roman"/>
          <w:sz w:val="24"/>
          <w:szCs w:val="24"/>
        </w:rPr>
        <w:t>31</w:t>
      </w: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 w:rsidR="008C4D2F">
        <w:rPr>
          <w:rFonts w:ascii="Times New Roman" w:hAnsi="Times New Roman" w:cs="Times New Roman"/>
          <w:sz w:val="24"/>
          <w:szCs w:val="24"/>
        </w:rPr>
        <w:t>мая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75B5" w:rsidRPr="000B1CB6" w:rsidRDefault="00BC75B5" w:rsidP="00BC75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14BAA" w:rsidRPr="00504FE0" w:rsidRDefault="000F4917" w:rsidP="000F2563">
      <w:pPr>
        <w:framePr w:h="8940" w:hRule="exact" w:wrap="auto" w:hAnchor="text" w:y="-2586"/>
        <w:sectPr w:rsidR="00E14BAA" w:rsidRPr="00504FE0" w:rsidSect="00CA52FB">
          <w:pgSz w:w="16838" w:h="11906" w:orient="landscape"/>
          <w:pgMar w:top="426" w:right="1134" w:bottom="851" w:left="1134" w:header="720" w:footer="720" w:gutter="0"/>
          <w:cols w:space="720"/>
          <w:docGrid w:linePitch="600" w:charSpace="36864"/>
        </w:sectPr>
      </w:pPr>
      <w:r>
        <w:t xml:space="preserve">        </w:t>
      </w: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C7" w:rsidRDefault="00361FC7" w:rsidP="001E3D6E">
      <w:pPr>
        <w:spacing w:after="0" w:line="240" w:lineRule="auto"/>
      </w:pPr>
      <w:r>
        <w:separator/>
      </w:r>
    </w:p>
  </w:endnote>
  <w:endnote w:type="continuationSeparator" w:id="1">
    <w:p w:rsidR="00361FC7" w:rsidRDefault="00361FC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C7" w:rsidRDefault="00361FC7" w:rsidP="001E3D6E">
      <w:pPr>
        <w:spacing w:after="0" w:line="240" w:lineRule="auto"/>
      </w:pPr>
      <w:r>
        <w:separator/>
      </w:r>
    </w:p>
  </w:footnote>
  <w:footnote w:type="continuationSeparator" w:id="1">
    <w:p w:rsidR="00361FC7" w:rsidRDefault="00361FC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BC4B64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D71BE8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5">
    <w:nsid w:val="3553741C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641B2612"/>
    <w:multiLevelType w:val="multilevel"/>
    <w:tmpl w:val="26B8C9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77"/>
    <w:multiLevelType w:val="hybridMultilevel"/>
    <w:tmpl w:val="79ECD09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4027"/>
    <w:rsid w:val="0001452C"/>
    <w:rsid w:val="000167C0"/>
    <w:rsid w:val="00017494"/>
    <w:rsid w:val="00025201"/>
    <w:rsid w:val="00034284"/>
    <w:rsid w:val="00042136"/>
    <w:rsid w:val="000447CF"/>
    <w:rsid w:val="0004524A"/>
    <w:rsid w:val="0005202C"/>
    <w:rsid w:val="000537FC"/>
    <w:rsid w:val="00057F6F"/>
    <w:rsid w:val="0006229A"/>
    <w:rsid w:val="00062EF4"/>
    <w:rsid w:val="0006311D"/>
    <w:rsid w:val="00064707"/>
    <w:rsid w:val="000677E2"/>
    <w:rsid w:val="00074419"/>
    <w:rsid w:val="00087B82"/>
    <w:rsid w:val="00091C1B"/>
    <w:rsid w:val="000A5EE6"/>
    <w:rsid w:val="000A6401"/>
    <w:rsid w:val="000B02D7"/>
    <w:rsid w:val="000B2AB7"/>
    <w:rsid w:val="000C06B2"/>
    <w:rsid w:val="000D0CA4"/>
    <w:rsid w:val="000D79B2"/>
    <w:rsid w:val="000E10EC"/>
    <w:rsid w:val="000E154D"/>
    <w:rsid w:val="000E234E"/>
    <w:rsid w:val="000E51C7"/>
    <w:rsid w:val="000F2563"/>
    <w:rsid w:val="000F4917"/>
    <w:rsid w:val="00110474"/>
    <w:rsid w:val="001208A1"/>
    <w:rsid w:val="00123C86"/>
    <w:rsid w:val="00127030"/>
    <w:rsid w:val="001309B9"/>
    <w:rsid w:val="00131964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91F3F"/>
    <w:rsid w:val="0019344D"/>
    <w:rsid w:val="001A3DF4"/>
    <w:rsid w:val="001A3EB8"/>
    <w:rsid w:val="001A6CFA"/>
    <w:rsid w:val="001B2949"/>
    <w:rsid w:val="001B57D9"/>
    <w:rsid w:val="001B6F64"/>
    <w:rsid w:val="001D17C0"/>
    <w:rsid w:val="001D5909"/>
    <w:rsid w:val="001E062B"/>
    <w:rsid w:val="001E11F8"/>
    <w:rsid w:val="001E3D6E"/>
    <w:rsid w:val="001E6E64"/>
    <w:rsid w:val="001F31EB"/>
    <w:rsid w:val="001F5A10"/>
    <w:rsid w:val="00215562"/>
    <w:rsid w:val="00216D11"/>
    <w:rsid w:val="00220BCF"/>
    <w:rsid w:val="0023067A"/>
    <w:rsid w:val="002451EC"/>
    <w:rsid w:val="00245DE7"/>
    <w:rsid w:val="002472A4"/>
    <w:rsid w:val="00247A25"/>
    <w:rsid w:val="00257F36"/>
    <w:rsid w:val="00262A44"/>
    <w:rsid w:val="002765D1"/>
    <w:rsid w:val="00280073"/>
    <w:rsid w:val="002857A3"/>
    <w:rsid w:val="002905EA"/>
    <w:rsid w:val="0029136D"/>
    <w:rsid w:val="002A0776"/>
    <w:rsid w:val="002A20A8"/>
    <w:rsid w:val="002A3FBB"/>
    <w:rsid w:val="002A7E85"/>
    <w:rsid w:val="002C2400"/>
    <w:rsid w:val="002C29C6"/>
    <w:rsid w:val="002C3720"/>
    <w:rsid w:val="002C79D5"/>
    <w:rsid w:val="002E07DB"/>
    <w:rsid w:val="002E763C"/>
    <w:rsid w:val="002F6892"/>
    <w:rsid w:val="003115F2"/>
    <w:rsid w:val="00315248"/>
    <w:rsid w:val="003208C0"/>
    <w:rsid w:val="00321A65"/>
    <w:rsid w:val="0032659E"/>
    <w:rsid w:val="00332425"/>
    <w:rsid w:val="00341996"/>
    <w:rsid w:val="00342AC9"/>
    <w:rsid w:val="0034456F"/>
    <w:rsid w:val="00352AD4"/>
    <w:rsid w:val="00352BA6"/>
    <w:rsid w:val="00361FC7"/>
    <w:rsid w:val="003646D5"/>
    <w:rsid w:val="003715B3"/>
    <w:rsid w:val="00373525"/>
    <w:rsid w:val="003741B1"/>
    <w:rsid w:val="00374253"/>
    <w:rsid w:val="003747D4"/>
    <w:rsid w:val="00376050"/>
    <w:rsid w:val="0037702B"/>
    <w:rsid w:val="00384337"/>
    <w:rsid w:val="0039466F"/>
    <w:rsid w:val="0039564C"/>
    <w:rsid w:val="003A0D43"/>
    <w:rsid w:val="003A4182"/>
    <w:rsid w:val="003A4B1C"/>
    <w:rsid w:val="003A5D30"/>
    <w:rsid w:val="003A5E80"/>
    <w:rsid w:val="003B25EE"/>
    <w:rsid w:val="003C2A39"/>
    <w:rsid w:val="003C5CC1"/>
    <w:rsid w:val="003D004D"/>
    <w:rsid w:val="003D4259"/>
    <w:rsid w:val="003D571D"/>
    <w:rsid w:val="003D5A14"/>
    <w:rsid w:val="003D7557"/>
    <w:rsid w:val="003E3C0C"/>
    <w:rsid w:val="003E3EF9"/>
    <w:rsid w:val="003F16E6"/>
    <w:rsid w:val="003F29D6"/>
    <w:rsid w:val="003F68F9"/>
    <w:rsid w:val="00406D81"/>
    <w:rsid w:val="004108C4"/>
    <w:rsid w:val="00412F49"/>
    <w:rsid w:val="0041360B"/>
    <w:rsid w:val="00422F64"/>
    <w:rsid w:val="00423C87"/>
    <w:rsid w:val="00431233"/>
    <w:rsid w:val="00433558"/>
    <w:rsid w:val="00435736"/>
    <w:rsid w:val="004422DF"/>
    <w:rsid w:val="00444B94"/>
    <w:rsid w:val="00445932"/>
    <w:rsid w:val="00451D21"/>
    <w:rsid w:val="00454B33"/>
    <w:rsid w:val="00456117"/>
    <w:rsid w:val="00460D67"/>
    <w:rsid w:val="00465527"/>
    <w:rsid w:val="00471ABC"/>
    <w:rsid w:val="00494A52"/>
    <w:rsid w:val="004970D3"/>
    <w:rsid w:val="004A1AE8"/>
    <w:rsid w:val="004A329F"/>
    <w:rsid w:val="004B5EE5"/>
    <w:rsid w:val="004B79BC"/>
    <w:rsid w:val="004C1B62"/>
    <w:rsid w:val="004C2548"/>
    <w:rsid w:val="004C33E8"/>
    <w:rsid w:val="004C5E52"/>
    <w:rsid w:val="004D52A5"/>
    <w:rsid w:val="004E2CE1"/>
    <w:rsid w:val="004E70B0"/>
    <w:rsid w:val="0050113F"/>
    <w:rsid w:val="00502201"/>
    <w:rsid w:val="005031EA"/>
    <w:rsid w:val="00504FE0"/>
    <w:rsid w:val="005075F3"/>
    <w:rsid w:val="005124AF"/>
    <w:rsid w:val="00512F14"/>
    <w:rsid w:val="00517180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66F66"/>
    <w:rsid w:val="0057350E"/>
    <w:rsid w:val="00573900"/>
    <w:rsid w:val="005840A2"/>
    <w:rsid w:val="005855C6"/>
    <w:rsid w:val="005871C7"/>
    <w:rsid w:val="00587AB2"/>
    <w:rsid w:val="005933B1"/>
    <w:rsid w:val="0059377A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0C81"/>
    <w:rsid w:val="005D5382"/>
    <w:rsid w:val="005E3BE2"/>
    <w:rsid w:val="005F025F"/>
    <w:rsid w:val="005F15C4"/>
    <w:rsid w:val="005F4FDA"/>
    <w:rsid w:val="00603DF8"/>
    <w:rsid w:val="00604074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4951"/>
    <w:rsid w:val="00654B84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9372A"/>
    <w:rsid w:val="00696F1B"/>
    <w:rsid w:val="006A28D4"/>
    <w:rsid w:val="006A5762"/>
    <w:rsid w:val="006A69CD"/>
    <w:rsid w:val="006B0D35"/>
    <w:rsid w:val="006B3B95"/>
    <w:rsid w:val="006B52A5"/>
    <w:rsid w:val="006B65D3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5D1E"/>
    <w:rsid w:val="00712A7F"/>
    <w:rsid w:val="00713BB7"/>
    <w:rsid w:val="00714D2E"/>
    <w:rsid w:val="00720C99"/>
    <w:rsid w:val="00720CE4"/>
    <w:rsid w:val="00723D95"/>
    <w:rsid w:val="00727872"/>
    <w:rsid w:val="00731ECF"/>
    <w:rsid w:val="007321E5"/>
    <w:rsid w:val="00732574"/>
    <w:rsid w:val="00734A18"/>
    <w:rsid w:val="00736FDE"/>
    <w:rsid w:val="0075627F"/>
    <w:rsid w:val="0076070D"/>
    <w:rsid w:val="00760830"/>
    <w:rsid w:val="00760962"/>
    <w:rsid w:val="007655F0"/>
    <w:rsid w:val="00767ED2"/>
    <w:rsid w:val="00776C45"/>
    <w:rsid w:val="00777011"/>
    <w:rsid w:val="007810FE"/>
    <w:rsid w:val="00783487"/>
    <w:rsid w:val="00783BAB"/>
    <w:rsid w:val="0078514B"/>
    <w:rsid w:val="007944C1"/>
    <w:rsid w:val="00796410"/>
    <w:rsid w:val="007A464C"/>
    <w:rsid w:val="007A4F2D"/>
    <w:rsid w:val="007B5A9E"/>
    <w:rsid w:val="007B5D7C"/>
    <w:rsid w:val="007C75CB"/>
    <w:rsid w:val="007D178F"/>
    <w:rsid w:val="007D275F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31D0"/>
    <w:rsid w:val="007F6199"/>
    <w:rsid w:val="00810B9B"/>
    <w:rsid w:val="008112D2"/>
    <w:rsid w:val="00817833"/>
    <w:rsid w:val="0082247D"/>
    <w:rsid w:val="00825023"/>
    <w:rsid w:val="00825679"/>
    <w:rsid w:val="008273A0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DD7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C4D2F"/>
    <w:rsid w:val="008D5F22"/>
    <w:rsid w:val="008D62D7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27130"/>
    <w:rsid w:val="00930A4F"/>
    <w:rsid w:val="009325FC"/>
    <w:rsid w:val="00936A7F"/>
    <w:rsid w:val="009372EB"/>
    <w:rsid w:val="0094017B"/>
    <w:rsid w:val="00941746"/>
    <w:rsid w:val="00944972"/>
    <w:rsid w:val="0094699B"/>
    <w:rsid w:val="0095088E"/>
    <w:rsid w:val="009569E1"/>
    <w:rsid w:val="009666E5"/>
    <w:rsid w:val="00970649"/>
    <w:rsid w:val="00976371"/>
    <w:rsid w:val="00983009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17578"/>
    <w:rsid w:val="00A1766F"/>
    <w:rsid w:val="00A177CB"/>
    <w:rsid w:val="00A23821"/>
    <w:rsid w:val="00A3012A"/>
    <w:rsid w:val="00A43C40"/>
    <w:rsid w:val="00A45821"/>
    <w:rsid w:val="00A5155A"/>
    <w:rsid w:val="00A56C03"/>
    <w:rsid w:val="00A64F43"/>
    <w:rsid w:val="00A652FC"/>
    <w:rsid w:val="00A770E1"/>
    <w:rsid w:val="00A81880"/>
    <w:rsid w:val="00A819FE"/>
    <w:rsid w:val="00A86FC7"/>
    <w:rsid w:val="00A90777"/>
    <w:rsid w:val="00A92117"/>
    <w:rsid w:val="00A93C60"/>
    <w:rsid w:val="00A943A5"/>
    <w:rsid w:val="00A96913"/>
    <w:rsid w:val="00AA031E"/>
    <w:rsid w:val="00AA307B"/>
    <w:rsid w:val="00AA34A0"/>
    <w:rsid w:val="00AA37FB"/>
    <w:rsid w:val="00AA4E29"/>
    <w:rsid w:val="00AA5771"/>
    <w:rsid w:val="00AA5952"/>
    <w:rsid w:val="00AB03A8"/>
    <w:rsid w:val="00AB3082"/>
    <w:rsid w:val="00AB3414"/>
    <w:rsid w:val="00AC4342"/>
    <w:rsid w:val="00AC7758"/>
    <w:rsid w:val="00AD0CB1"/>
    <w:rsid w:val="00AD0E26"/>
    <w:rsid w:val="00AD735B"/>
    <w:rsid w:val="00AE32D0"/>
    <w:rsid w:val="00AE7BCA"/>
    <w:rsid w:val="00AF0E86"/>
    <w:rsid w:val="00AF169F"/>
    <w:rsid w:val="00AF1B79"/>
    <w:rsid w:val="00AF311E"/>
    <w:rsid w:val="00AF3B50"/>
    <w:rsid w:val="00AF6732"/>
    <w:rsid w:val="00B01DEB"/>
    <w:rsid w:val="00B0572A"/>
    <w:rsid w:val="00B07B97"/>
    <w:rsid w:val="00B133ED"/>
    <w:rsid w:val="00B1381B"/>
    <w:rsid w:val="00B17D8C"/>
    <w:rsid w:val="00B24A40"/>
    <w:rsid w:val="00B300A4"/>
    <w:rsid w:val="00B35BEC"/>
    <w:rsid w:val="00B36EA9"/>
    <w:rsid w:val="00B44DC8"/>
    <w:rsid w:val="00B5166B"/>
    <w:rsid w:val="00B74011"/>
    <w:rsid w:val="00B74D33"/>
    <w:rsid w:val="00B77B18"/>
    <w:rsid w:val="00B801CF"/>
    <w:rsid w:val="00B80D61"/>
    <w:rsid w:val="00B816EA"/>
    <w:rsid w:val="00B90FDF"/>
    <w:rsid w:val="00B91BF6"/>
    <w:rsid w:val="00B932CD"/>
    <w:rsid w:val="00B93783"/>
    <w:rsid w:val="00B94095"/>
    <w:rsid w:val="00B95B57"/>
    <w:rsid w:val="00BA29B2"/>
    <w:rsid w:val="00BB077D"/>
    <w:rsid w:val="00BC75B5"/>
    <w:rsid w:val="00BD012B"/>
    <w:rsid w:val="00BD1B6C"/>
    <w:rsid w:val="00BD5B7D"/>
    <w:rsid w:val="00BE0CF9"/>
    <w:rsid w:val="00BE0E07"/>
    <w:rsid w:val="00BE4EC5"/>
    <w:rsid w:val="00BF46C5"/>
    <w:rsid w:val="00BF4CB3"/>
    <w:rsid w:val="00BF5E59"/>
    <w:rsid w:val="00C028CF"/>
    <w:rsid w:val="00C0346C"/>
    <w:rsid w:val="00C04AB7"/>
    <w:rsid w:val="00C10F45"/>
    <w:rsid w:val="00C11461"/>
    <w:rsid w:val="00C224DA"/>
    <w:rsid w:val="00C23689"/>
    <w:rsid w:val="00C2373E"/>
    <w:rsid w:val="00C237ED"/>
    <w:rsid w:val="00C3090D"/>
    <w:rsid w:val="00C36D1F"/>
    <w:rsid w:val="00C475D2"/>
    <w:rsid w:val="00C57FA1"/>
    <w:rsid w:val="00C646C0"/>
    <w:rsid w:val="00C80B27"/>
    <w:rsid w:val="00C81509"/>
    <w:rsid w:val="00C81617"/>
    <w:rsid w:val="00C84D30"/>
    <w:rsid w:val="00C8689E"/>
    <w:rsid w:val="00C87267"/>
    <w:rsid w:val="00C96FF6"/>
    <w:rsid w:val="00CA42CC"/>
    <w:rsid w:val="00CA52FB"/>
    <w:rsid w:val="00CC0A1E"/>
    <w:rsid w:val="00CC7F65"/>
    <w:rsid w:val="00CD7D8F"/>
    <w:rsid w:val="00CE3013"/>
    <w:rsid w:val="00CF1210"/>
    <w:rsid w:val="00CF25F3"/>
    <w:rsid w:val="00D07E52"/>
    <w:rsid w:val="00D141E3"/>
    <w:rsid w:val="00D156A2"/>
    <w:rsid w:val="00D2124F"/>
    <w:rsid w:val="00D22B28"/>
    <w:rsid w:val="00D23F14"/>
    <w:rsid w:val="00D25CE5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63A7A"/>
    <w:rsid w:val="00D752E6"/>
    <w:rsid w:val="00D75476"/>
    <w:rsid w:val="00D81FCA"/>
    <w:rsid w:val="00D9401E"/>
    <w:rsid w:val="00D9682E"/>
    <w:rsid w:val="00DA021B"/>
    <w:rsid w:val="00DB1C0B"/>
    <w:rsid w:val="00DB378C"/>
    <w:rsid w:val="00DB3F72"/>
    <w:rsid w:val="00DB70CC"/>
    <w:rsid w:val="00DC1C0A"/>
    <w:rsid w:val="00DC43CB"/>
    <w:rsid w:val="00DC76B3"/>
    <w:rsid w:val="00DD3D21"/>
    <w:rsid w:val="00DD5D99"/>
    <w:rsid w:val="00DD6083"/>
    <w:rsid w:val="00DD66CD"/>
    <w:rsid w:val="00DE3CA9"/>
    <w:rsid w:val="00DE483B"/>
    <w:rsid w:val="00DE7253"/>
    <w:rsid w:val="00DE7947"/>
    <w:rsid w:val="00E071CE"/>
    <w:rsid w:val="00E079FB"/>
    <w:rsid w:val="00E13D9A"/>
    <w:rsid w:val="00E14BAA"/>
    <w:rsid w:val="00E309C7"/>
    <w:rsid w:val="00E310BB"/>
    <w:rsid w:val="00E341C7"/>
    <w:rsid w:val="00E3600E"/>
    <w:rsid w:val="00E36444"/>
    <w:rsid w:val="00E36C18"/>
    <w:rsid w:val="00E40C84"/>
    <w:rsid w:val="00E40E0E"/>
    <w:rsid w:val="00E42778"/>
    <w:rsid w:val="00E47A97"/>
    <w:rsid w:val="00E50237"/>
    <w:rsid w:val="00E50F28"/>
    <w:rsid w:val="00E5217A"/>
    <w:rsid w:val="00E52E29"/>
    <w:rsid w:val="00E56DFF"/>
    <w:rsid w:val="00E63568"/>
    <w:rsid w:val="00E66A4B"/>
    <w:rsid w:val="00E84C1F"/>
    <w:rsid w:val="00E8783A"/>
    <w:rsid w:val="00E92CB7"/>
    <w:rsid w:val="00E93811"/>
    <w:rsid w:val="00E945B5"/>
    <w:rsid w:val="00EA23EC"/>
    <w:rsid w:val="00EB3394"/>
    <w:rsid w:val="00EB4059"/>
    <w:rsid w:val="00ED420F"/>
    <w:rsid w:val="00EE4241"/>
    <w:rsid w:val="00EF4CF3"/>
    <w:rsid w:val="00F005B2"/>
    <w:rsid w:val="00F00CFD"/>
    <w:rsid w:val="00F01B68"/>
    <w:rsid w:val="00F07CAE"/>
    <w:rsid w:val="00F11004"/>
    <w:rsid w:val="00F21E60"/>
    <w:rsid w:val="00F23B1F"/>
    <w:rsid w:val="00F347DB"/>
    <w:rsid w:val="00F36C89"/>
    <w:rsid w:val="00F45461"/>
    <w:rsid w:val="00F471FC"/>
    <w:rsid w:val="00F60830"/>
    <w:rsid w:val="00F70EBE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C43EA"/>
    <w:rsid w:val="00FC7365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29136D"/>
    <w:pPr>
      <w:ind w:left="720"/>
    </w:pPr>
  </w:style>
  <w:style w:type="paragraph" w:customStyle="1" w:styleId="ad">
    <w:name w:val="Содержимое таблицы"/>
    <w:basedOn w:val="a"/>
    <w:rsid w:val="0029136D"/>
    <w:pPr>
      <w:suppressLineNumbers/>
    </w:pPr>
  </w:style>
  <w:style w:type="paragraph" w:customStyle="1" w:styleId="ae">
    <w:name w:val="Заголовок таблицы"/>
    <w:basedOn w:val="ad"/>
    <w:rsid w:val="0029136D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29136D"/>
  </w:style>
  <w:style w:type="paragraph" w:styleId="af0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3"/>
    <w:rsid w:val="00FB78A7"/>
    <w:rPr>
      <w:spacing w:val="-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2">
    <w:name w:val="header"/>
    <w:basedOn w:val="a"/>
    <w:link w:val="af3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table" w:styleId="af6">
    <w:name w:val="Table Grid"/>
    <w:basedOn w:val="a1"/>
    <w:uiPriority w:val="59"/>
    <w:rsid w:val="00E36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4C5E52"/>
    <w:rPr>
      <w:sz w:val="24"/>
      <w:szCs w:val="24"/>
      <w:lang w:eastAsia="ar-SA"/>
    </w:rPr>
  </w:style>
  <w:style w:type="paragraph" w:customStyle="1" w:styleId="14">
    <w:name w:val="Без интервала1"/>
    <w:rsid w:val="004C5E5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Абзац списка Знак"/>
    <w:basedOn w:val="a0"/>
    <w:link w:val="ab"/>
    <w:rsid w:val="00D63A7A"/>
    <w:rPr>
      <w:rFonts w:ascii="Calibri" w:eastAsia="Calibri" w:hAnsi="Calibri" w:cs="Calibri"/>
      <w:sz w:val="22"/>
      <w:szCs w:val="22"/>
      <w:lang w:eastAsia="ar-SA"/>
    </w:rPr>
  </w:style>
  <w:style w:type="paragraph" w:customStyle="1" w:styleId="xl35">
    <w:name w:val="xl35"/>
    <w:basedOn w:val="a"/>
    <w:rsid w:val="00D63A7A"/>
    <w:pPr>
      <w:suppressAutoHyphens w:val="0"/>
      <w:spacing w:beforeAutospacing="1" w:after="0" w:afterAutospacing="1" w:line="240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2">
    <w:name w:val="Без интервала2"/>
    <w:rsid w:val="00423C8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C04AB7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E656-B2F4-4958-8EA7-B7655CA6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2022-05-04T06:42:00Z</cp:lastPrinted>
  <dcterms:created xsi:type="dcterms:W3CDTF">2023-01-24T07:03:00Z</dcterms:created>
  <dcterms:modified xsi:type="dcterms:W3CDTF">2023-01-24T07:06:00Z</dcterms:modified>
</cp:coreProperties>
</file>