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144751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DFC6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7F0C" w:rsidRPr="00E63568" w:rsidRDefault="0014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816F44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816F44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816F44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</w:p>
    <w:p w:rsidR="00C57F0C" w:rsidRPr="00E63568" w:rsidRDefault="00C57F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C57F0C" w:rsidRPr="00E63568" w:rsidRDefault="00C57F0C" w:rsidP="00E64BF9">
      <w:pPr>
        <w:widowControl w:val="0"/>
        <w:autoSpaceDE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4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D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816F44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7F0C" w:rsidRPr="00E63568" w:rsidRDefault="00C57F0C" w:rsidP="00E64BF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Манычского сельского поселения Сальского района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E2C4F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5E2C4F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5E2C4F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</w:t>
      </w:r>
      <w:r w:rsidR="00816F4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816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7D2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816F4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6F44"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FE6804">
        <w:rPr>
          <w:rFonts w:ascii="Times New Roman" w:hAnsi="Times New Roman" w:cs="Times New Roman"/>
          <w:sz w:val="28"/>
          <w:szCs w:val="28"/>
        </w:rPr>
        <w:t>13499,9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FE6804">
        <w:rPr>
          <w:rFonts w:ascii="Times New Roman" w:hAnsi="Times New Roman" w:cs="Times New Roman"/>
          <w:sz w:val="28"/>
          <w:szCs w:val="28"/>
        </w:rPr>
        <w:t>13499,9</w:t>
      </w:r>
      <w:r w:rsidR="00816F44"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</w:t>
      </w:r>
      <w:r w:rsidR="00816F4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Манычского сельского поселения Сальского района в сумме 0,0 тыс. рублей;</w:t>
      </w:r>
    </w:p>
    <w:p w:rsidR="00C57F0C" w:rsidRPr="00604074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4074">
        <w:rPr>
          <w:rFonts w:ascii="Times New Roman" w:hAnsi="Times New Roman" w:cs="Times New Roman"/>
          <w:sz w:val="28"/>
          <w:szCs w:val="28"/>
        </w:rPr>
        <w:t xml:space="preserve">) 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iCs/>
          <w:sz w:val="28"/>
          <w:szCs w:val="28"/>
        </w:rPr>
        <w:t>0,0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604074">
        <w:rPr>
          <w:rFonts w:ascii="Times New Roman" w:hAnsi="Times New Roman" w:cs="Times New Roman"/>
          <w:sz w:val="28"/>
          <w:szCs w:val="28"/>
        </w:rPr>
        <w:t>.</w:t>
      </w:r>
    </w:p>
    <w:p w:rsidR="00C57F0C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hAnsi="Times New Roman" w:cs="Times New Roman"/>
          <w:iCs/>
          <w:sz w:val="28"/>
          <w:szCs w:val="28"/>
        </w:rPr>
        <w:t>период 202</w:t>
      </w:r>
      <w:r w:rsidR="00816F44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816F44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iCs/>
          <w:sz w:val="28"/>
          <w:szCs w:val="28"/>
        </w:rPr>
        <w:t>, определенные с учетом уровня инфляции, не превышающего 4,0 процента (декабрь 202</w:t>
      </w:r>
      <w:r w:rsidR="00816F44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16F44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 и 4,0 процента (декабрь 202</w:t>
      </w:r>
      <w:r w:rsidR="00816F44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16F44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</w:t>
      </w:r>
      <w:r w:rsidR="000A13C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соответственно:</w:t>
      </w:r>
    </w:p>
    <w:p w:rsidR="00C57F0C" w:rsidRPr="002130FF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1) прогнозируемый общий объем доходов местного бюджета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816F44">
        <w:rPr>
          <w:rFonts w:ascii="Times New Roman" w:hAnsi="Times New Roman" w:cs="Times New Roman"/>
          <w:iCs/>
          <w:sz w:val="28"/>
          <w:szCs w:val="28"/>
        </w:rPr>
        <w:t>5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30F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год в сумме </w:t>
      </w:r>
      <w:r w:rsidR="00FE6804">
        <w:rPr>
          <w:rFonts w:ascii="Times New Roman" w:hAnsi="Times New Roman" w:cs="Times New Roman"/>
          <w:iCs/>
          <w:sz w:val="28"/>
          <w:szCs w:val="28"/>
        </w:rPr>
        <w:t>53732,7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 тыс. рублей и на 202</w:t>
      </w:r>
      <w:r w:rsidR="00816F44">
        <w:rPr>
          <w:rFonts w:ascii="Times New Roman" w:hAnsi="Times New Roman" w:cs="Times New Roman"/>
          <w:iCs/>
          <w:sz w:val="28"/>
          <w:szCs w:val="28"/>
        </w:rPr>
        <w:t>6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iCs/>
          <w:sz w:val="28"/>
          <w:szCs w:val="28"/>
        </w:rPr>
        <w:t>35134,8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30FF">
        <w:rPr>
          <w:rFonts w:ascii="Times New Roman" w:hAnsi="Times New Roman" w:cs="Times New Roman"/>
          <w:iCs/>
          <w:sz w:val="28"/>
          <w:szCs w:val="28"/>
        </w:rPr>
        <w:t>2) общий объем расходов местного бюджета на 202</w:t>
      </w:r>
      <w:r w:rsidR="00947D24">
        <w:rPr>
          <w:rFonts w:ascii="Times New Roman" w:hAnsi="Times New Roman" w:cs="Times New Roman"/>
          <w:iCs/>
          <w:sz w:val="28"/>
          <w:szCs w:val="28"/>
        </w:rPr>
        <w:t>5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умме </w:t>
      </w:r>
      <w:r w:rsidR="00FE6804">
        <w:rPr>
          <w:rFonts w:ascii="Times New Roman" w:hAnsi="Times New Roman" w:cs="Times New Roman"/>
          <w:iCs/>
          <w:sz w:val="28"/>
          <w:szCs w:val="28"/>
        </w:rPr>
        <w:t>53732,7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E63568">
        <w:rPr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 w:rsidR="005617DE">
        <w:rPr>
          <w:rFonts w:ascii="Times New Roman" w:hAnsi="Times New Roman" w:cs="Times New Roman"/>
          <w:iCs/>
          <w:sz w:val="28"/>
          <w:szCs w:val="28"/>
        </w:rPr>
        <w:t>2</w:t>
      </w:r>
      <w:r w:rsidR="00851161">
        <w:rPr>
          <w:rFonts w:ascii="Times New Roman" w:hAnsi="Times New Roman" w:cs="Times New Roman"/>
          <w:iCs/>
          <w:sz w:val="28"/>
          <w:szCs w:val="28"/>
        </w:rPr>
        <w:t>5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617DE">
        <w:rPr>
          <w:rFonts w:ascii="Times New Roman" w:hAnsi="Times New Roman" w:cs="Times New Roman"/>
          <w:iCs/>
          <w:sz w:val="28"/>
          <w:szCs w:val="28"/>
        </w:rPr>
        <w:t>,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iCs/>
          <w:sz w:val="28"/>
          <w:szCs w:val="28"/>
        </w:rPr>
        <w:t>35134,8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тыс. рублей, в том числе условно утвержденные расходы в сумме </w:t>
      </w:r>
      <w:r w:rsidR="00392058">
        <w:rPr>
          <w:rFonts w:ascii="Times New Roman" w:hAnsi="Times New Roman" w:cs="Times New Roman"/>
          <w:iCs/>
          <w:sz w:val="28"/>
          <w:szCs w:val="28"/>
        </w:rPr>
        <w:t>503</w:t>
      </w:r>
      <w:r w:rsidR="006537A2">
        <w:rPr>
          <w:rFonts w:ascii="Times New Roman" w:hAnsi="Times New Roman" w:cs="Times New Roman"/>
          <w:iCs/>
          <w:sz w:val="28"/>
          <w:szCs w:val="28"/>
        </w:rPr>
        <w:t>,</w:t>
      </w:r>
      <w:r w:rsidR="00392058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392058">
        <w:rPr>
          <w:rFonts w:ascii="Times New Roman" w:hAnsi="Times New Roman" w:cs="Times New Roman"/>
          <w:iCs/>
          <w:spacing w:val="-4"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 w:rsidR="00392058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прогнозируемый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дефицит местного </w:t>
      </w:r>
      <w:r w:rsidRPr="00E63568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202</w:t>
      </w:r>
      <w:r w:rsidR="00392058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</w:t>
      </w:r>
      <w:r w:rsidR="00392058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 w:rsidR="00392058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202</w:t>
      </w:r>
      <w:r w:rsidR="00392058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92058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39205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392058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392058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Манычского сельского поселения на 202</w:t>
      </w:r>
      <w:r w:rsidR="00392058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92058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2058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7F0C" w:rsidRPr="00C1345A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3BE2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C1345A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392058">
        <w:rPr>
          <w:rFonts w:ascii="Times New Roman" w:hAnsi="Times New Roman" w:cs="Times New Roman"/>
          <w:sz w:val="28"/>
          <w:szCs w:val="28"/>
        </w:rPr>
        <w:t>4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1222,0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 w:rsidR="009433DF">
        <w:rPr>
          <w:rFonts w:ascii="Times New Roman" w:hAnsi="Times New Roman" w:cs="Times New Roman"/>
          <w:sz w:val="28"/>
          <w:szCs w:val="28"/>
        </w:rPr>
        <w:t>5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1262,3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 и на 202</w:t>
      </w:r>
      <w:r w:rsidR="009433DF">
        <w:rPr>
          <w:rFonts w:ascii="Times New Roman" w:hAnsi="Times New Roman" w:cs="Times New Roman"/>
          <w:sz w:val="28"/>
          <w:szCs w:val="28"/>
        </w:rPr>
        <w:t>6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1250,4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C57F0C" w:rsidRPr="00E63568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>. Утвердить: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 xml:space="preserve">), группам и </w:t>
      </w:r>
      <w:r w:rsidRPr="00E63568">
        <w:rPr>
          <w:rFonts w:ascii="Times New Roman" w:hAnsi="Times New Roman" w:cs="Times New Roman"/>
          <w:sz w:val="28"/>
          <w:szCs w:val="28"/>
        </w:rPr>
        <w:lastRenderedPageBreak/>
        <w:t xml:space="preserve">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классификации расходов бюджетов на 202</w:t>
      </w:r>
      <w:r w:rsidR="009433DF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9433DF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9433DF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712A7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712A7F">
        <w:rPr>
          <w:rFonts w:ascii="Times New Roman" w:hAnsi="Times New Roman" w:cs="Times New Roman"/>
          <w:sz w:val="28"/>
          <w:szCs w:val="28"/>
        </w:rPr>
        <w:t xml:space="preserve">3 к </w:t>
      </w:r>
      <w:r w:rsidRPr="00E63568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9433DF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9433DF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9433DF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433DF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9433DF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9433DF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640C8B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640C8B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14FAA" w:rsidRDefault="00315F2F" w:rsidP="00E70F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8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640C8B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 xml:space="preserve">ского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70FA9">
        <w:rPr>
          <w:rFonts w:ascii="Times New Roman" w:hAnsi="Times New Roman" w:cs="Times New Roman"/>
          <w:sz w:val="28"/>
          <w:szCs w:val="28"/>
        </w:rPr>
        <w:t xml:space="preserve"> </w:t>
      </w:r>
      <w:r w:rsidRPr="00640C8B">
        <w:rPr>
          <w:rFonts w:ascii="Times New Roman" w:hAnsi="Times New Roman" w:cs="Times New Roman"/>
          <w:sz w:val="28"/>
          <w:szCs w:val="28"/>
        </w:rPr>
        <w:t xml:space="preserve"> индексируются с 1 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E70FA9" w:rsidRDefault="00E70FA9" w:rsidP="00E70F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8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</w:t>
      </w:r>
      <w:r w:rsidRPr="00640C8B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640C8B">
        <w:rPr>
          <w:rFonts w:ascii="Times New Roman" w:hAnsi="Times New Roman" w:cs="Times New Roman"/>
          <w:sz w:val="28"/>
          <w:szCs w:val="28"/>
        </w:rPr>
        <w:t xml:space="preserve">  индексируются с 1 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0C8B">
        <w:rPr>
          <w:rFonts w:ascii="Times New Roman" w:hAnsi="Times New Roman" w:cs="Times New Roman"/>
          <w:sz w:val="28"/>
          <w:szCs w:val="28"/>
        </w:rPr>
        <w:t>с 1 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315F2F" w:rsidRPr="007F6199" w:rsidRDefault="00315F2F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199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7F6199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15F2F" w:rsidRPr="007F6199" w:rsidRDefault="00315F2F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19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 xml:space="preserve">индексируются </w:t>
      </w:r>
      <w:r w:rsidR="00947D24" w:rsidRPr="00640C8B">
        <w:rPr>
          <w:rFonts w:ascii="Times New Roman" w:hAnsi="Times New Roman" w:cs="Times New Roman"/>
          <w:sz w:val="28"/>
          <w:szCs w:val="28"/>
        </w:rPr>
        <w:t>с 1  октября 202</w:t>
      </w:r>
      <w:r w:rsidR="00947D24">
        <w:rPr>
          <w:rFonts w:ascii="Times New Roman" w:hAnsi="Times New Roman" w:cs="Times New Roman"/>
          <w:sz w:val="28"/>
          <w:szCs w:val="28"/>
        </w:rPr>
        <w:t>4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5D0C92">
        <w:rPr>
          <w:rFonts w:ascii="Times New Roman" w:hAnsi="Times New Roman" w:cs="Times New Roman"/>
          <w:sz w:val="28"/>
          <w:szCs w:val="28"/>
        </w:rPr>
        <w:t>5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Pr="007F6199">
        <w:rPr>
          <w:rFonts w:ascii="Times New Roman" w:hAnsi="Times New Roman" w:cs="Times New Roman"/>
          <w:sz w:val="28"/>
          <w:szCs w:val="28"/>
        </w:rPr>
        <w:t>с 1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 xml:space="preserve">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C57F0C" w:rsidRDefault="00C57F0C" w:rsidP="00E64BF9">
      <w:pPr>
        <w:pStyle w:val="15"/>
        <w:shd w:val="clear" w:color="auto" w:fill="auto"/>
        <w:spacing w:line="276" w:lineRule="auto"/>
        <w:ind w:left="20" w:right="20" w:firstLine="831"/>
        <w:rPr>
          <w:iCs/>
          <w:sz w:val="28"/>
          <w:szCs w:val="28"/>
        </w:rPr>
      </w:pPr>
    </w:p>
    <w:p w:rsidR="00C57F0C" w:rsidRPr="00E63568" w:rsidRDefault="00C57F0C" w:rsidP="00E64BF9">
      <w:pPr>
        <w:pStyle w:val="15"/>
        <w:shd w:val="clear" w:color="auto" w:fill="auto"/>
        <w:spacing w:line="276" w:lineRule="auto"/>
        <w:ind w:left="20" w:right="20" w:firstLine="831"/>
        <w:rPr>
          <w:b/>
          <w:iCs/>
          <w:sz w:val="28"/>
          <w:szCs w:val="28"/>
        </w:rPr>
      </w:pPr>
      <w:r w:rsidRPr="005E3BE2">
        <w:rPr>
          <w:iCs/>
          <w:sz w:val="28"/>
          <w:szCs w:val="28"/>
        </w:rPr>
        <w:t xml:space="preserve">Статья </w:t>
      </w:r>
      <w:r w:rsidR="00315F2F">
        <w:rPr>
          <w:iCs/>
          <w:sz w:val="28"/>
          <w:szCs w:val="28"/>
        </w:rPr>
        <w:t>5</w:t>
      </w:r>
      <w:r w:rsidRPr="005E3BE2">
        <w:rPr>
          <w:iCs/>
          <w:sz w:val="28"/>
          <w:szCs w:val="28"/>
        </w:rPr>
        <w:t>.</w:t>
      </w:r>
      <w:r w:rsidRPr="00E63568">
        <w:rPr>
          <w:b/>
          <w:iCs/>
          <w:sz w:val="28"/>
          <w:szCs w:val="28"/>
        </w:rPr>
        <w:t xml:space="preserve"> </w:t>
      </w:r>
      <w:r w:rsidR="00E64BF9"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E64BF9" w:rsidRPr="00E64BF9" w:rsidRDefault="00E64BF9" w:rsidP="00E64BF9">
      <w:pPr>
        <w:pStyle w:val="af4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Федерации, на 2024 год в сумме </w:t>
      </w:r>
      <w:r w:rsidR="002C0E3A">
        <w:rPr>
          <w:rFonts w:ascii="Times New Roman" w:hAnsi="Times New Roman" w:cs="Times New Roman"/>
          <w:sz w:val="28"/>
          <w:szCs w:val="28"/>
        </w:rPr>
        <w:t xml:space="preserve">6981,6 </w:t>
      </w:r>
      <w:r w:rsidRPr="00E64BF9">
        <w:rPr>
          <w:rFonts w:ascii="Times New Roman" w:hAnsi="Times New Roman" w:cs="Times New Roman"/>
          <w:sz w:val="28"/>
          <w:szCs w:val="28"/>
        </w:rPr>
        <w:t xml:space="preserve">тыс. рублей, на 2025 год в сумме </w:t>
      </w:r>
      <w:r w:rsidR="002C0E3A">
        <w:rPr>
          <w:rFonts w:ascii="Times New Roman" w:hAnsi="Times New Roman" w:cs="Times New Roman"/>
          <w:sz w:val="28"/>
          <w:szCs w:val="28"/>
        </w:rPr>
        <w:t xml:space="preserve">47061,7 </w:t>
      </w:r>
      <w:r w:rsidRPr="00E64BF9">
        <w:rPr>
          <w:rFonts w:ascii="Times New Roman" w:hAnsi="Times New Roman" w:cs="Times New Roman"/>
          <w:sz w:val="28"/>
          <w:szCs w:val="28"/>
        </w:rPr>
        <w:t xml:space="preserve">тыс. рублей, на 2026 год в сумме </w:t>
      </w:r>
      <w:r w:rsidR="002C0E3A">
        <w:rPr>
          <w:rFonts w:ascii="Times New Roman" w:hAnsi="Times New Roman" w:cs="Times New Roman"/>
          <w:sz w:val="28"/>
          <w:szCs w:val="28"/>
        </w:rPr>
        <w:t>28307,1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E64BF9">
        <w:rPr>
          <w:rFonts w:ascii="Times New Roman" w:hAnsi="Times New Roman" w:cs="Times New Roman"/>
          <w:sz w:val="28"/>
          <w:szCs w:val="28"/>
        </w:rPr>
        <w:t xml:space="preserve">1) объем дотаций, предоставляемых местному бюджету из областного бюджета в 2024 году в сумме </w:t>
      </w:r>
      <w:r w:rsidR="002C0E3A">
        <w:rPr>
          <w:rFonts w:ascii="Times New Roman" w:hAnsi="Times New Roman" w:cs="Times New Roman"/>
          <w:sz w:val="28"/>
          <w:szCs w:val="28"/>
        </w:rPr>
        <w:t>4981,6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</w:t>
      </w:r>
      <w:r w:rsidR="002C0E3A">
        <w:rPr>
          <w:rFonts w:ascii="Times New Roman" w:hAnsi="Times New Roman" w:cs="Times New Roman"/>
          <w:sz w:val="28"/>
          <w:szCs w:val="28"/>
        </w:rPr>
        <w:t>3592,7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2C0E3A">
        <w:rPr>
          <w:rFonts w:ascii="Times New Roman" w:hAnsi="Times New Roman" w:cs="Times New Roman"/>
          <w:sz w:val="28"/>
          <w:szCs w:val="28"/>
        </w:rPr>
        <w:t>3233,4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64BF9" w:rsidRPr="00E64BF9" w:rsidRDefault="002C0E3A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E64BF9" w:rsidRPr="00E64BF9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местному бюджету из областного бюджета в 2024 году в сумме </w:t>
      </w:r>
      <w:r>
        <w:rPr>
          <w:rFonts w:ascii="Times New Roman" w:hAnsi="Times New Roman" w:cs="Times New Roman"/>
          <w:sz w:val="28"/>
          <w:szCs w:val="28"/>
        </w:rPr>
        <w:t>141,2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рублей, в 2025 году в сумме </w:t>
      </w:r>
      <w:r>
        <w:rPr>
          <w:rFonts w:ascii="Times New Roman" w:hAnsi="Times New Roman" w:cs="Times New Roman"/>
          <w:sz w:val="28"/>
          <w:szCs w:val="28"/>
        </w:rPr>
        <w:t>155,2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 и в 2026 году в сумме </w:t>
      </w:r>
      <w:r>
        <w:rPr>
          <w:rFonts w:ascii="Times New Roman" w:hAnsi="Times New Roman" w:cs="Times New Roman"/>
          <w:sz w:val="28"/>
          <w:szCs w:val="28"/>
        </w:rPr>
        <w:t xml:space="preserve">169,3 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E64BF9" w:rsidRDefault="002C0E3A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="00E64BF9" w:rsidRPr="00E64BF9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E64BF9" w:rsidRPr="00E64BF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местному бюджету из бюджета Сальского района  в 2024 году в сумме </w:t>
      </w:r>
      <w:r>
        <w:rPr>
          <w:rFonts w:ascii="Times New Roman" w:hAnsi="Times New Roman" w:cs="Times New Roman"/>
          <w:sz w:val="28"/>
          <w:szCs w:val="28"/>
        </w:rPr>
        <w:t>636,8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рублей, в 2025 году в сумме </w:t>
      </w:r>
      <w:r>
        <w:rPr>
          <w:rFonts w:ascii="Times New Roman" w:hAnsi="Times New Roman" w:cs="Times New Roman"/>
          <w:sz w:val="28"/>
          <w:szCs w:val="28"/>
        </w:rPr>
        <w:t>42051,5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рублей, в 2026 году в сумме </w:t>
      </w:r>
      <w:r>
        <w:rPr>
          <w:rFonts w:ascii="Times New Roman" w:hAnsi="Times New Roman" w:cs="Times New Roman"/>
          <w:sz w:val="28"/>
          <w:szCs w:val="28"/>
        </w:rPr>
        <w:t>23654,0</w:t>
      </w:r>
      <w:r w:rsidR="00E64BF9" w:rsidRPr="00E64BF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E64BF9" w:rsidRPr="00E64BF9" w:rsidRDefault="00E64BF9" w:rsidP="00E64BF9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2C0E3A">
        <w:rPr>
          <w:rFonts w:ascii="Times New Roman" w:hAnsi="Times New Roman" w:cs="Times New Roman"/>
          <w:sz w:val="28"/>
        </w:rPr>
        <w:t xml:space="preserve">Статья </w:t>
      </w:r>
      <w:r w:rsidR="00145405" w:rsidRPr="002C0E3A">
        <w:rPr>
          <w:rFonts w:ascii="Times New Roman" w:hAnsi="Times New Roman" w:cs="Times New Roman"/>
          <w:sz w:val="28"/>
        </w:rPr>
        <w:t>6</w:t>
      </w:r>
      <w:r w:rsidRPr="002C0E3A">
        <w:rPr>
          <w:rFonts w:ascii="Times New Roman" w:hAnsi="Times New Roman" w:cs="Times New Roman"/>
          <w:sz w:val="28"/>
        </w:rPr>
        <w:t>.</w:t>
      </w:r>
      <w:r w:rsidRPr="00E64BF9">
        <w:rPr>
          <w:rFonts w:ascii="Times New Roman" w:hAnsi="Times New Roman" w:cs="Times New Roman"/>
          <w:sz w:val="28"/>
        </w:rPr>
        <w:t xml:space="preserve"> </w:t>
      </w:r>
      <w:r w:rsidRPr="00E64BF9">
        <w:rPr>
          <w:rFonts w:ascii="Times New Roman" w:hAnsi="Times New Roman" w:cs="Times New Roman"/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114FAA" w:rsidRDefault="00114FAA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2024 году в сумме </w:t>
      </w:r>
      <w:r w:rsidR="00114FAA">
        <w:rPr>
          <w:rFonts w:ascii="Times New Roman" w:hAnsi="Times New Roman" w:cs="Times New Roman"/>
          <w:sz w:val="28"/>
        </w:rPr>
        <w:t>55,1</w:t>
      </w:r>
      <w:r w:rsidRPr="00E64BF9">
        <w:rPr>
          <w:rFonts w:ascii="Times New Roman" w:hAnsi="Times New Roman" w:cs="Times New Roman"/>
          <w:sz w:val="28"/>
        </w:rPr>
        <w:t xml:space="preserve"> тыс. рублей, в  2025 году в сумме </w:t>
      </w:r>
      <w:r w:rsidR="00114FAA">
        <w:rPr>
          <w:rFonts w:ascii="Times New Roman" w:hAnsi="Times New Roman" w:cs="Times New Roman"/>
          <w:sz w:val="28"/>
        </w:rPr>
        <w:t>23,4</w:t>
      </w:r>
      <w:r w:rsidRPr="00E64BF9">
        <w:rPr>
          <w:rFonts w:ascii="Times New Roman" w:hAnsi="Times New Roman" w:cs="Times New Roman"/>
          <w:sz w:val="28"/>
        </w:rPr>
        <w:t xml:space="preserve"> тыс. рублей, в 2026 году </w:t>
      </w:r>
      <w:r w:rsidR="00114FAA">
        <w:rPr>
          <w:rFonts w:ascii="Times New Roman" w:hAnsi="Times New Roman" w:cs="Times New Roman"/>
          <w:sz w:val="28"/>
        </w:rPr>
        <w:t>23,4</w:t>
      </w:r>
      <w:r w:rsidRPr="00E64BF9">
        <w:rPr>
          <w:rFonts w:ascii="Times New Roman" w:hAnsi="Times New Roman" w:cs="Times New Roman"/>
          <w:sz w:val="28"/>
        </w:rPr>
        <w:t xml:space="preserve"> тыс. рублей.</w:t>
      </w:r>
    </w:p>
    <w:p w:rsid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14FAA">
        <w:rPr>
          <w:rFonts w:ascii="Times New Roman" w:hAnsi="Times New Roman" w:cs="Times New Roman"/>
          <w:sz w:val="28"/>
        </w:rPr>
        <w:t xml:space="preserve">согласно приложению </w:t>
      </w:r>
      <w:r w:rsidR="00114FAA" w:rsidRPr="00114FAA">
        <w:rPr>
          <w:rFonts w:ascii="Times New Roman" w:hAnsi="Times New Roman" w:cs="Times New Roman"/>
          <w:sz w:val="28"/>
        </w:rPr>
        <w:t>6</w:t>
      </w:r>
      <w:r w:rsidRPr="00114FAA">
        <w:rPr>
          <w:rFonts w:ascii="Times New Roman" w:hAnsi="Times New Roman" w:cs="Times New Roman"/>
          <w:sz w:val="28"/>
        </w:rPr>
        <w:t xml:space="preserve"> к</w:t>
      </w:r>
      <w:r w:rsidRPr="00E64BF9">
        <w:rPr>
          <w:rFonts w:ascii="Times New Roman" w:hAnsi="Times New Roman" w:cs="Times New Roman"/>
          <w:sz w:val="28"/>
        </w:rPr>
        <w:t xml:space="preserve"> настоящему решению.</w:t>
      </w:r>
    </w:p>
    <w:p w:rsidR="002456D3" w:rsidRPr="00E64BF9" w:rsidRDefault="002456D3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Статья</w:t>
      </w:r>
      <w:r>
        <w:rPr>
          <w:rFonts w:ascii="Times New Roman" w:hAnsi="Times New Roman" w:cs="Times New Roman"/>
          <w:iCs/>
          <w:sz w:val="28"/>
          <w:szCs w:val="28"/>
        </w:rPr>
        <w:t xml:space="preserve"> 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5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E223D">
        <w:rPr>
          <w:rFonts w:ascii="Times New Roman" w:hAnsi="Times New Roman" w:cs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Статья </w:t>
      </w:r>
      <w:r w:rsidR="002456D3">
        <w:rPr>
          <w:rFonts w:ascii="Times New Roman" w:hAnsi="Times New Roman"/>
          <w:sz w:val="28"/>
          <w:szCs w:val="28"/>
        </w:rPr>
        <w:t>8</w:t>
      </w:r>
      <w:r w:rsidRPr="00B471F0">
        <w:rPr>
          <w:rFonts w:ascii="Times New Roman" w:hAnsi="Times New Roman"/>
          <w:sz w:val="28"/>
          <w:szCs w:val="28"/>
        </w:rPr>
        <w:t xml:space="preserve">. </w:t>
      </w:r>
      <w:r w:rsidRPr="00B471F0">
        <w:rPr>
          <w:rFonts w:ascii="Times New Roman" w:hAnsi="Times New Roman"/>
          <w:b/>
          <w:sz w:val="28"/>
          <w:szCs w:val="28"/>
        </w:rPr>
        <w:t>Особенности исполнения местного бюджета в 202</w:t>
      </w:r>
      <w:r w:rsidR="009433DF">
        <w:rPr>
          <w:rFonts w:ascii="Times New Roman" w:hAnsi="Times New Roman"/>
          <w:b/>
          <w:sz w:val="28"/>
          <w:szCs w:val="28"/>
        </w:rPr>
        <w:t>4</w:t>
      </w:r>
      <w:r w:rsidRPr="00B471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6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 w:rsidRPr="00B471F0">
        <w:rPr>
          <w:rFonts w:ascii="Times New Roman" w:hAnsi="Times New Roman"/>
          <w:sz w:val="28"/>
          <w:szCs w:val="28"/>
        </w:rPr>
        <w:t xml:space="preserve">29 решения  Собрания  депутатов  </w:t>
      </w:r>
      <w:r>
        <w:rPr>
          <w:rFonts w:ascii="Times New Roman" w:hAnsi="Times New Roman"/>
          <w:sz w:val="28"/>
          <w:szCs w:val="28"/>
        </w:rPr>
        <w:t>Манычского сельского поселения от  25</w:t>
      </w:r>
      <w:r w:rsidRPr="00B47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B471F0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года  № </w:t>
      </w:r>
      <w:r>
        <w:rPr>
          <w:rFonts w:ascii="Times New Roman" w:hAnsi="Times New Roman"/>
          <w:sz w:val="28"/>
          <w:szCs w:val="28"/>
        </w:rPr>
        <w:t>42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</w:t>
      </w:r>
      <w:r w:rsidRPr="00B471F0">
        <w:rPr>
          <w:rFonts w:ascii="Times New Roman" w:hAnsi="Times New Roman"/>
          <w:sz w:val="28"/>
          <w:szCs w:val="28"/>
        </w:rPr>
        <w:lastRenderedPageBreak/>
        <w:t xml:space="preserve">процессе  в  </w:t>
      </w:r>
      <w:r>
        <w:rPr>
          <w:rFonts w:ascii="Times New Roman" w:hAnsi="Times New Roman"/>
          <w:sz w:val="28"/>
          <w:szCs w:val="28"/>
        </w:rPr>
        <w:t>Манычском</w:t>
      </w:r>
      <w:r w:rsidRPr="00B471F0">
        <w:rPr>
          <w:rFonts w:ascii="Times New Roman" w:hAnsi="Times New Roman"/>
          <w:sz w:val="28"/>
          <w:szCs w:val="28"/>
        </w:rPr>
        <w:t xml:space="preserve"> сельском поселении», что основанием для внесения в 202</w:t>
      </w:r>
      <w:r w:rsidR="009433DF">
        <w:rPr>
          <w:rFonts w:ascii="Times New Roman" w:hAnsi="Times New Roman"/>
          <w:sz w:val="28"/>
          <w:szCs w:val="28"/>
        </w:rPr>
        <w:t>4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C57F0C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C57F0C" w:rsidRDefault="00071A3C" w:rsidP="00114FAA">
      <w:pPr>
        <w:pStyle w:val="1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1A3C">
        <w:rPr>
          <w:rFonts w:ascii="Times New Roman" w:hAnsi="Times New Roman"/>
          <w:sz w:val="28"/>
          <w:szCs w:val="28"/>
        </w:rPr>
        <w:t xml:space="preserve"> </w:t>
      </w:r>
    </w:p>
    <w:p w:rsidR="002456D3" w:rsidRDefault="002456D3" w:rsidP="002456D3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3C">
        <w:rPr>
          <w:rFonts w:ascii="Times New Roman" w:hAnsi="Times New Roman"/>
          <w:b/>
          <w:sz w:val="28"/>
          <w:szCs w:val="28"/>
        </w:rPr>
        <w:t>Средства, подлежащие казначейскому сопровождению, предоставляемые из местного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56D3" w:rsidRPr="00B471F0" w:rsidRDefault="002456D3" w:rsidP="002456D3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Установить, что в 202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района.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1)  авансы и расчеты по муниципальным контрактам, заключаемым на сумму более 50 000,0 тыс.  рублей;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2)  авансы и расчеты по контрактам (договорам), заключаемым на сумму более 50 000,0</w:t>
      </w:r>
      <w:r w:rsidRPr="005C45A8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 рублей бюджетными и автономными учреждениями;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E2C4F">
        <w:rPr>
          <w:rFonts w:ascii="Times New Roman" w:hAnsi="Times New Roman" w:cs="Times New Roman"/>
          <w:sz w:val="28"/>
          <w:szCs w:val="28"/>
        </w:rPr>
        <w:t>10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114FAA" w:rsidRPr="00E63568" w:rsidRDefault="00114FAA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17A" w:rsidRDefault="00D0117A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C7938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Информационном бюллетене Манычского сельского поселения и </w:t>
      </w:r>
      <w:r>
        <w:rPr>
          <w:rFonts w:ascii="Times New Roman" w:hAnsi="Times New Roman" w:cs="Times New Roman"/>
          <w:sz w:val="28"/>
          <w:szCs w:val="28"/>
        </w:rPr>
        <w:t>разме</w:t>
      </w:r>
      <w:r w:rsidR="000C7938">
        <w:rPr>
          <w:rFonts w:ascii="Times New Roman" w:hAnsi="Times New Roman" w:cs="Times New Roman"/>
          <w:sz w:val="28"/>
          <w:szCs w:val="28"/>
        </w:rPr>
        <w:t>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Манычского сельского поселения в информационно-телекоммуникационной сети «Интернет»</w:t>
      </w:r>
    </w:p>
    <w:p w:rsidR="00C57F0C" w:rsidRDefault="00C57F0C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17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9433DF" w:rsidRPr="00D0117A">
        <w:rPr>
          <w:rFonts w:ascii="Times New Roman" w:hAnsi="Times New Roman" w:cs="Times New Roman"/>
          <w:sz w:val="28"/>
          <w:szCs w:val="28"/>
        </w:rPr>
        <w:t>4</w:t>
      </w:r>
      <w:r w:rsidRPr="00D011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117A" w:rsidRPr="00D0117A" w:rsidRDefault="00D0117A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C7938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0C79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Манычского сельского поселения и постоянную комиссию</w:t>
      </w:r>
      <w:r w:rsidR="000C7938">
        <w:rPr>
          <w:rFonts w:ascii="Times New Roman" w:hAnsi="Times New Roman" w:cs="Times New Roman"/>
          <w:sz w:val="28"/>
          <w:szCs w:val="28"/>
        </w:rPr>
        <w:t xml:space="preserve"> Собрания депутатов Манычского сельского поселения по экономической политике, бюджету, налогам и муниципальной собственности.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433DF"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B54DF6" w:rsidRDefault="00B54DF6" w:rsidP="00E64BF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  <w:sectPr w:rsidR="00C57F0C" w:rsidRPr="00B54DF6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1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района на 202</w:t>
      </w:r>
      <w:r w:rsidR="009433DF">
        <w:rPr>
          <w:rFonts w:ascii="Times New Roman" w:hAnsi="Times New Roman" w:cs="Times New Roman"/>
          <w:sz w:val="28"/>
          <w:szCs w:val="28"/>
        </w:rPr>
        <w:t>4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9433DF">
        <w:rPr>
          <w:rFonts w:ascii="Times New Roman" w:hAnsi="Times New Roman" w:cs="Times New Roman"/>
          <w:sz w:val="28"/>
          <w:szCs w:val="28"/>
        </w:rPr>
        <w:t>5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9433DF">
        <w:rPr>
          <w:rFonts w:ascii="Times New Roman" w:hAnsi="Times New Roman" w:cs="Times New Roman"/>
          <w:sz w:val="28"/>
          <w:szCs w:val="28"/>
        </w:rPr>
        <w:t>6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5455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9214"/>
        <w:gridCol w:w="1149"/>
        <w:gridCol w:w="1119"/>
        <w:gridCol w:w="1123"/>
      </w:tblGrid>
      <w:tr w:rsidR="009C63BD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3BD" w:rsidRPr="00AA37FB" w:rsidRDefault="009C63BD" w:rsidP="009433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 w:rsidR="009433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9433D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9433D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</w:t>
            </w:r>
            <w:bookmarkStart w:id="4" w:name="_GoBack"/>
            <w:bookmarkEnd w:id="4"/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</w:tr>
      <w:tr w:rsidR="00C57F0C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AA37FB" w:rsidRDefault="00C57F0C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57F0C" w:rsidRPr="00FB5AF3" w:rsidRDefault="00C57F0C" w:rsidP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20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20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F32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320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RANGE!A11%25253AC53"/>
            <w:bookmarkEnd w:id="5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2C3E2F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6518,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2C3E2F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6671,0</w:t>
            </w:r>
          </w:p>
        </w:tc>
        <w:tc>
          <w:tcPr>
            <w:tcW w:w="1123" w:type="dxa"/>
            <w:vAlign w:val="center"/>
          </w:tcPr>
          <w:p w:rsidR="00C57F0C" w:rsidRPr="00FB5AF3" w:rsidRDefault="002C3E2F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15489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9214" w:type="dxa"/>
            <w:vAlign w:val="center"/>
          </w:tcPr>
          <w:p w:rsidR="00E726AC" w:rsidRPr="00E726AC" w:rsidRDefault="00E726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49" w:type="dxa"/>
            <w:vAlign w:val="center"/>
          </w:tcPr>
          <w:p w:rsidR="00E726AC" w:rsidRPr="00E726AC" w:rsidRDefault="00E726AC" w:rsidP="00133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19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23" w:type="dxa"/>
            <w:vAlign w:val="center"/>
          </w:tcPr>
          <w:p w:rsidR="00E726AC" w:rsidRPr="00E726AC" w:rsidRDefault="00E726AC" w:rsidP="003A0D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9214" w:type="dxa"/>
            <w:vAlign w:val="center"/>
          </w:tcPr>
          <w:p w:rsidR="00E726AC" w:rsidRPr="00E726AC" w:rsidRDefault="00E726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49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23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1 01 02130 01 0000 110</w:t>
            </w:r>
          </w:p>
        </w:tc>
        <w:tc>
          <w:tcPr>
            <w:tcW w:w="9214" w:type="dxa"/>
            <w:vAlign w:val="center"/>
          </w:tcPr>
          <w:p w:rsidR="00E726AC" w:rsidRPr="00E726AC" w:rsidRDefault="00E726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49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19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23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9856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1 01 02140 01 0000 110</w:t>
            </w:r>
          </w:p>
        </w:tc>
        <w:tc>
          <w:tcPr>
            <w:tcW w:w="9214" w:type="dxa"/>
            <w:vAlign w:val="center"/>
          </w:tcPr>
          <w:p w:rsidR="00E726AC" w:rsidRPr="00E726AC" w:rsidRDefault="00E726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49" w:type="dxa"/>
            <w:vAlign w:val="center"/>
          </w:tcPr>
          <w:p w:rsidR="00E726AC" w:rsidRPr="00E726AC" w:rsidRDefault="00E726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19" w:type="dxa"/>
            <w:vAlign w:val="center"/>
          </w:tcPr>
          <w:p w:rsidR="00E726AC" w:rsidRPr="00E726AC" w:rsidRDefault="00E726A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23" w:type="dxa"/>
            <w:vAlign w:val="center"/>
          </w:tcPr>
          <w:p w:rsidR="00E726AC" w:rsidRPr="00E726AC" w:rsidRDefault="00E726A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005,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005,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005,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1F65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F65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1548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07242D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C57F0C" w:rsidRPr="00FB5AF3" w:rsidRDefault="0007242D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07242D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F47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DB3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19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23" w:type="dxa"/>
            <w:vAlign w:val="center"/>
          </w:tcPr>
          <w:p w:rsidR="00C57F0C" w:rsidRPr="00FB5AF3" w:rsidRDefault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6981,6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596FD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96F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061,7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6981,6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596FD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96F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061,7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C57F0C" w:rsidRPr="00900371" w:rsidTr="009C63BD">
        <w:trPr>
          <w:trHeight w:val="327"/>
        </w:trPr>
        <w:tc>
          <w:tcPr>
            <w:tcW w:w="2850" w:type="dxa"/>
          </w:tcPr>
          <w:p w:rsidR="00C57F0C" w:rsidRPr="00900371" w:rsidRDefault="00C57F0C" w:rsidP="0029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9214" w:type="dxa"/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900371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981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9" w:type="dxa"/>
            <w:vAlign w:val="center"/>
          </w:tcPr>
          <w:p w:rsidR="00C57F0C" w:rsidRPr="00900371" w:rsidRDefault="0098560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23" w:type="dxa"/>
            <w:vAlign w:val="center"/>
          </w:tcPr>
          <w:p w:rsidR="00C57F0C" w:rsidRPr="00900371" w:rsidRDefault="0098560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C57F0C" w:rsidRPr="00900371" w:rsidTr="009C63BD">
        <w:trPr>
          <w:trHeight w:val="324"/>
        </w:trPr>
        <w:tc>
          <w:tcPr>
            <w:tcW w:w="2850" w:type="dxa"/>
          </w:tcPr>
          <w:p w:rsidR="00C57F0C" w:rsidRPr="00900371" w:rsidRDefault="00C57F0C" w:rsidP="0029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9214" w:type="dxa"/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49" w:type="dxa"/>
            <w:vAlign w:val="center"/>
          </w:tcPr>
          <w:p w:rsidR="00C57F0C" w:rsidRPr="00900371" w:rsidRDefault="0098560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19" w:type="dxa"/>
            <w:vAlign w:val="center"/>
          </w:tcPr>
          <w:p w:rsidR="00C57F0C" w:rsidRPr="00900371" w:rsidRDefault="00985606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23" w:type="dxa"/>
            <w:vAlign w:val="center"/>
          </w:tcPr>
          <w:p w:rsidR="00C57F0C" w:rsidRPr="00900371" w:rsidRDefault="0098560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C57F0C" w:rsidRPr="00504FE0" w:rsidTr="009C63BD">
        <w:trPr>
          <w:trHeight w:val="374"/>
        </w:trPr>
        <w:tc>
          <w:tcPr>
            <w:tcW w:w="2850" w:type="dxa"/>
          </w:tcPr>
          <w:p w:rsidR="00C57F0C" w:rsidRPr="00900371" w:rsidRDefault="00C57F0C" w:rsidP="0029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9214" w:type="dxa"/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900371" w:rsidRDefault="0098560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19" w:type="dxa"/>
            <w:vAlign w:val="center"/>
          </w:tcPr>
          <w:p w:rsidR="00C57F0C" w:rsidRPr="00900371" w:rsidRDefault="00985606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23" w:type="dxa"/>
            <w:vAlign w:val="center"/>
          </w:tcPr>
          <w:p w:rsidR="00C57F0C" w:rsidRPr="00633408" w:rsidRDefault="00985606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9856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9214" w:type="dxa"/>
          </w:tcPr>
          <w:p w:rsidR="006537A2" w:rsidRPr="00900371" w:rsidRDefault="006537A2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6537A2" w:rsidRPr="00900371" w:rsidRDefault="009932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119" w:type="dxa"/>
            <w:vAlign w:val="center"/>
          </w:tcPr>
          <w:p w:rsidR="006537A2" w:rsidRPr="00900371" w:rsidRDefault="006537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6537A2" w:rsidRPr="00900371" w:rsidRDefault="006537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2C3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9214" w:type="dxa"/>
          </w:tcPr>
          <w:p w:rsidR="006537A2" w:rsidRPr="00900371" w:rsidRDefault="006537A2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6537A2" w:rsidRPr="00900371" w:rsidRDefault="009932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19" w:type="dxa"/>
            <w:vAlign w:val="center"/>
          </w:tcPr>
          <w:p w:rsidR="006537A2" w:rsidRPr="00900371" w:rsidRDefault="006537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6537A2" w:rsidRPr="00633408" w:rsidRDefault="006537A2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8570C5" w:rsidTr="009C63BD">
        <w:trPr>
          <w:trHeight w:val="368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362B2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900371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9214" w:type="dxa"/>
          </w:tcPr>
          <w:p w:rsidR="00C57F0C" w:rsidRPr="00900371" w:rsidRDefault="00857C40" w:rsidP="00857C40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900371" w:rsidRDefault="009932A2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23" w:type="dxa"/>
            <w:vAlign w:val="center"/>
          </w:tcPr>
          <w:p w:rsidR="00C57F0C" w:rsidRPr="00900371" w:rsidRDefault="00596FD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C57F0C" w:rsidRPr="00633408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9214" w:type="dxa"/>
          </w:tcPr>
          <w:p w:rsidR="00C57F0C" w:rsidRPr="00900371" w:rsidRDefault="00C57F0C" w:rsidP="00857C40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857C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900371" w:rsidRDefault="009932A2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23" w:type="dxa"/>
            <w:vAlign w:val="center"/>
          </w:tcPr>
          <w:p w:rsidR="00C57F0C" w:rsidRPr="00900371" w:rsidRDefault="00596FD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1858,8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2C3E2F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2A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3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85116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49" w:type="dxa"/>
            <w:vAlign w:val="center"/>
          </w:tcPr>
          <w:p w:rsidR="00A06934" w:rsidRPr="006E1C05" w:rsidRDefault="009932A2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19" w:type="dxa"/>
            <w:vAlign w:val="center"/>
          </w:tcPr>
          <w:p w:rsidR="00A06934" w:rsidRPr="006E1C05" w:rsidRDefault="009932A2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23" w:type="dxa"/>
            <w:vAlign w:val="center"/>
          </w:tcPr>
          <w:p w:rsidR="00A06934" w:rsidRPr="006E1C05" w:rsidRDefault="00596FD4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9" w:type="dxa"/>
            <w:vAlign w:val="center"/>
          </w:tcPr>
          <w:p w:rsidR="00A06934" w:rsidRPr="006E1C05" w:rsidRDefault="009932A2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636,8</w:t>
            </w:r>
          </w:p>
        </w:tc>
        <w:tc>
          <w:tcPr>
            <w:tcW w:w="1119" w:type="dxa"/>
            <w:vAlign w:val="center"/>
          </w:tcPr>
          <w:p w:rsidR="00A06934" w:rsidRPr="006E1C05" w:rsidRDefault="009932A2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23" w:type="dxa"/>
            <w:vAlign w:val="center"/>
          </w:tcPr>
          <w:p w:rsidR="00A06934" w:rsidRPr="006E1C05" w:rsidRDefault="00596FD4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="00A06934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13499,9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123" w:type="dxa"/>
            <w:vAlign w:val="center"/>
          </w:tcPr>
          <w:p w:rsidR="00C57F0C" w:rsidRPr="00FB5AF3" w:rsidRDefault="00596FD4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</w:tbl>
    <w:p w:rsidR="00EF36EA" w:rsidRDefault="00EF36EA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2C3E2F">
        <w:rPr>
          <w:rFonts w:ascii="Times New Roman" w:hAnsi="Times New Roman" w:cs="Times New Roman"/>
          <w:sz w:val="28"/>
          <w:szCs w:val="28"/>
        </w:rPr>
        <w:t>4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C3E2F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2C3E2F">
        <w:rPr>
          <w:rFonts w:ascii="Times New Roman" w:hAnsi="Times New Roman" w:cs="Times New Roman"/>
          <w:sz w:val="28"/>
          <w:szCs w:val="28"/>
        </w:rPr>
        <w:t>6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094"/>
        <w:gridCol w:w="1417"/>
        <w:gridCol w:w="1417"/>
        <w:gridCol w:w="1418"/>
        <w:gridCol w:w="30"/>
      </w:tblGrid>
      <w:tr w:rsidR="00C57F0C" w:rsidRPr="0063710F" w:rsidTr="009C63BD">
        <w:trPr>
          <w:gridAfter w:val="1"/>
          <w:wAfter w:w="30" w:type="dxa"/>
          <w:trHeight w:val="678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E2F" w:rsidRDefault="002C3E2F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2C3E2F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63710F" w:rsidTr="009C63BD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FB5AF3" w:rsidTr="009C63BD">
        <w:trPr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9C63BD">
        <w:trPr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2C3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C3E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57F0C" w:rsidRPr="00FB5AF3" w:rsidRDefault="00C57F0C" w:rsidP="002C3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C3E2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 w:rsidP="002C3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C3E2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57F0C" w:rsidRPr="00FB5AF3" w:rsidTr="009C63BD">
        <w:trPr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9C63BD">
        <w:trPr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RANGE!A13%25253AC22"/>
            <w:bookmarkEnd w:id="6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596FD4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C57F0C" w:rsidRPr="00FB5AF3" w:rsidRDefault="00596FD4" w:rsidP="002C3E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C57F0C" w:rsidRPr="00FB5AF3" w:rsidRDefault="00596FD4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353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406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611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237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231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279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596FD4" w:rsidRPr="00FB5AF3" w:rsidTr="009C63BD">
        <w:trPr>
          <w:trHeight w:val="421"/>
        </w:trPr>
        <w:tc>
          <w:tcPr>
            <w:tcW w:w="3261" w:type="dxa"/>
          </w:tcPr>
          <w:p w:rsidR="00596FD4" w:rsidRPr="00FB5AF3" w:rsidRDefault="00596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</w:tcPr>
          <w:p w:rsidR="00596FD4" w:rsidRPr="00FB5AF3" w:rsidRDefault="00596FD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30266C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417" w:type="dxa"/>
          </w:tcPr>
          <w:p w:rsidR="00596FD4" w:rsidRDefault="00596FD4" w:rsidP="00596FD4">
            <w:pPr>
              <w:jc w:val="right"/>
            </w:pPr>
            <w:r w:rsidRPr="00260703">
              <w:rPr>
                <w:rFonts w:ascii="Times New Roman" w:hAnsi="Times New Roman" w:cs="Times New Roman"/>
                <w:iCs/>
                <w:sz w:val="24"/>
                <w:szCs w:val="24"/>
              </w:rPr>
              <w:t>53732,7</w:t>
            </w:r>
          </w:p>
        </w:tc>
        <w:tc>
          <w:tcPr>
            <w:tcW w:w="1448" w:type="dxa"/>
            <w:gridSpan w:val="2"/>
          </w:tcPr>
          <w:p w:rsidR="00596FD4" w:rsidRDefault="00596FD4" w:rsidP="00596FD4">
            <w:pPr>
              <w:jc w:val="right"/>
            </w:pPr>
            <w:r w:rsidRPr="005C2600"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Y="1036"/>
        <w:tblW w:w="14850" w:type="dxa"/>
        <w:tblLayout w:type="fixed"/>
        <w:tblLook w:val="0000" w:firstRow="0" w:lastRow="0" w:firstColumn="0" w:lastColumn="0" w:noHBand="0" w:noVBand="0"/>
      </w:tblPr>
      <w:tblGrid>
        <w:gridCol w:w="14850"/>
      </w:tblGrid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3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C3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C3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C3E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C3E2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57F0C" w:rsidRPr="00A770E1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</w:tbl>
    <w:p w:rsidR="00C57F0C" w:rsidRDefault="00C57F0C" w:rsidP="0063710F">
      <w:pPr>
        <w:pStyle w:val="13"/>
        <w:rPr>
          <w:rFonts w:ascii="Times New Roman" w:hAnsi="Times New Roman" w:cs="Times New Roman"/>
          <w:sz w:val="28"/>
          <w:szCs w:val="28"/>
        </w:rPr>
      </w:pPr>
    </w:p>
    <w:tbl>
      <w:tblPr>
        <w:tblW w:w="14758" w:type="dxa"/>
        <w:tblInd w:w="92" w:type="dxa"/>
        <w:tblLook w:val="04A0" w:firstRow="1" w:lastRow="0" w:firstColumn="1" w:lastColumn="0" w:noHBand="0" w:noVBand="1"/>
      </w:tblPr>
      <w:tblGrid>
        <w:gridCol w:w="6395"/>
        <w:gridCol w:w="709"/>
        <w:gridCol w:w="801"/>
        <w:gridCol w:w="1740"/>
        <w:gridCol w:w="936"/>
        <w:gridCol w:w="1415"/>
        <w:gridCol w:w="1418"/>
        <w:gridCol w:w="1344"/>
      </w:tblGrid>
      <w:tr w:rsidR="001546A9" w:rsidRPr="001546A9" w:rsidTr="001546A9">
        <w:trPr>
          <w:trHeight w:val="630"/>
        </w:trPr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6 743,70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1546A9" w:rsidRPr="001546A9" w:rsidTr="001546A9">
        <w:trPr>
          <w:trHeight w:val="189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1546A9" w:rsidRPr="001546A9" w:rsidTr="001546A9">
        <w:trPr>
          <w:trHeight w:val="1131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274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1546A9" w:rsidRPr="001546A9" w:rsidTr="001546A9">
        <w:trPr>
          <w:trHeight w:val="189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546A9" w:rsidRPr="001546A9" w:rsidTr="001546A9">
        <w:trPr>
          <w:trHeight w:val="157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546A9" w:rsidRPr="001546A9" w:rsidTr="001546A9">
        <w:trPr>
          <w:trHeight w:val="189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1546A9" w:rsidRPr="001546A9" w:rsidTr="001546A9">
        <w:trPr>
          <w:trHeight w:val="94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126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1546A9" w:rsidRPr="001546A9" w:rsidTr="001546A9">
        <w:trPr>
          <w:trHeight w:val="630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1546A9" w:rsidRPr="001546A9" w:rsidTr="001546A9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6A9" w:rsidRPr="001546A9" w:rsidRDefault="001546A9" w:rsidP="001546A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35 134,80</w:t>
            </w:r>
          </w:p>
        </w:tc>
      </w:tr>
    </w:tbl>
    <w:p w:rsidR="001546A9" w:rsidRDefault="001546A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106659">
        <w:rPr>
          <w:rFonts w:ascii="Times New Roman" w:hAnsi="Times New Roman" w:cs="Times New Roman"/>
          <w:sz w:val="28"/>
          <w:szCs w:val="28"/>
        </w:rPr>
        <w:t>4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>
      <w:pPr>
        <w:pStyle w:val="13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106659">
        <w:rPr>
          <w:rFonts w:ascii="Times New Roman" w:hAnsi="Times New Roman" w:cs="Times New Roman"/>
          <w:sz w:val="28"/>
          <w:szCs w:val="28"/>
        </w:rPr>
        <w:t>5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10665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>
      <w:pPr>
        <w:pStyle w:val="13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106659">
        <w:rPr>
          <w:rFonts w:ascii="Times New Roman" w:hAnsi="Times New Roman" w:cs="Times New Roman"/>
          <w:bCs/>
          <w:sz w:val="28"/>
          <w:szCs w:val="28"/>
        </w:rPr>
        <w:t>4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10665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10665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C57F0C" w:rsidRPr="00A770E1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822" w:type="dxa"/>
        <w:tblInd w:w="92" w:type="dxa"/>
        <w:tblLook w:val="04A0" w:firstRow="1" w:lastRow="0" w:firstColumn="1" w:lastColumn="0" w:noHBand="0" w:noVBand="1"/>
      </w:tblPr>
      <w:tblGrid>
        <w:gridCol w:w="6395"/>
        <w:gridCol w:w="687"/>
        <w:gridCol w:w="589"/>
        <w:gridCol w:w="709"/>
        <w:gridCol w:w="1623"/>
        <w:gridCol w:w="576"/>
        <w:gridCol w:w="1486"/>
        <w:gridCol w:w="1418"/>
        <w:gridCol w:w="1339"/>
      </w:tblGrid>
      <w:tr w:rsidR="007B3A01" w:rsidRPr="007B3A01" w:rsidTr="007B3A01">
        <w:trPr>
          <w:trHeight w:val="338"/>
        </w:trPr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13 499,90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53 732,70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35 134,80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6 917,10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6 578,00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6 963,60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6 743,70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1 286,30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1 274,40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инициативного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бюджетирования в рамках подпрограммы "Развитие культуры"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7B3A01" w:rsidRPr="007B3A01" w:rsidTr="007B3A01">
        <w:trPr>
          <w:trHeight w:val="315"/>
        </w:trPr>
        <w:tc>
          <w:tcPr>
            <w:tcW w:w="6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13 499,90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53 732,70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7B3A0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35 134,80</w:t>
            </w:r>
          </w:p>
        </w:tc>
      </w:tr>
    </w:tbl>
    <w:p w:rsidR="007B3A01" w:rsidRDefault="007B3A01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84743F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4743F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4743F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4743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4743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4743F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080" w:type="dxa"/>
        <w:tblInd w:w="92" w:type="dxa"/>
        <w:tblLook w:val="04A0" w:firstRow="1" w:lastRow="0" w:firstColumn="1" w:lastColumn="0" w:noHBand="0" w:noVBand="1"/>
      </w:tblPr>
      <w:tblGrid>
        <w:gridCol w:w="4480"/>
        <w:gridCol w:w="1660"/>
        <w:gridCol w:w="920"/>
        <w:gridCol w:w="920"/>
        <w:gridCol w:w="1840"/>
        <w:gridCol w:w="1660"/>
        <w:gridCol w:w="1800"/>
        <w:gridCol w:w="1800"/>
      </w:tblGrid>
      <w:tr w:rsidR="009826CD" w:rsidRPr="009826CD" w:rsidTr="009826CD">
        <w:trPr>
          <w:trHeight w:val="63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9826CD" w:rsidRPr="009826CD" w:rsidTr="009826CD">
        <w:trPr>
          <w:trHeight w:val="276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6CD" w:rsidRPr="009826CD" w:rsidTr="009826CD">
        <w:trPr>
          <w:trHeight w:val="25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670,10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9826CD" w:rsidRPr="009826CD" w:rsidTr="009826CD">
        <w:trPr>
          <w:trHeight w:val="34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96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470,10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518,30</w:t>
            </w:r>
          </w:p>
        </w:tc>
      </w:tr>
      <w:tr w:rsidR="009826CD" w:rsidRPr="009826CD" w:rsidTr="009826CD">
        <w:trPr>
          <w:trHeight w:val="22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3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9826CD" w:rsidRPr="009826CD" w:rsidTr="009826C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9826CD" w:rsidRPr="009826CD" w:rsidTr="009826CD">
        <w:trPr>
          <w:trHeight w:val="32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</w:tr>
      <w:tr w:rsidR="009826CD" w:rsidRPr="009826CD" w:rsidTr="009826CD">
        <w:trPr>
          <w:trHeight w:val="219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9826CD" w:rsidRPr="009826CD" w:rsidTr="009826CD">
        <w:trPr>
          <w:trHeight w:val="314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9826CD" w:rsidRPr="009826CD" w:rsidTr="009826CD">
        <w:trPr>
          <w:trHeight w:val="198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9826CD" w:rsidRPr="009826CD" w:rsidTr="009826CD">
        <w:trPr>
          <w:trHeight w:val="373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9826CD" w:rsidRPr="009826CD" w:rsidTr="009826CD">
        <w:trPr>
          <w:trHeight w:val="1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(Субсидии бюджетным учреждениям на иные цели)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97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696,81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424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826CD" w:rsidRPr="009826CD" w:rsidTr="009826C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826CD" w:rsidRPr="009826CD" w:rsidTr="009826CD">
        <w:trPr>
          <w:trHeight w:val="46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826CD" w:rsidRPr="009826CD" w:rsidTr="009826CD">
        <w:trPr>
          <w:trHeight w:val="22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1 493,90</w:t>
            </w:r>
          </w:p>
        </w:tc>
      </w:tr>
      <w:tr w:rsidR="009826CD" w:rsidRPr="009826CD" w:rsidTr="009826CD">
        <w:trPr>
          <w:trHeight w:val="21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1 031,70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1 105,20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1 147,40</w:t>
            </w:r>
          </w:p>
        </w:tc>
      </w:tr>
      <w:tr w:rsidR="009826CD" w:rsidRPr="009826CD" w:rsidTr="009826CD">
        <w:trPr>
          <w:trHeight w:val="34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311,60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333,80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346,50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9826CD" w:rsidRPr="009826CD" w:rsidTr="009826CD">
        <w:trPr>
          <w:trHeight w:val="25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4 215,90</w:t>
            </w:r>
          </w:p>
        </w:tc>
      </w:tr>
      <w:tr w:rsidR="009826CD" w:rsidRPr="009826CD" w:rsidTr="009826CD">
        <w:trPr>
          <w:trHeight w:val="22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3 387,30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3 347,60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2 856,40</w:t>
            </w:r>
          </w:p>
        </w:tc>
      </w:tr>
      <w:tr w:rsidR="009826CD" w:rsidRPr="009826CD" w:rsidTr="009826CD">
        <w:trPr>
          <w:trHeight w:val="29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1 286,90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1 155,30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1 359,50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9826CD" w:rsidRPr="009826CD" w:rsidTr="009826CD">
        <w:trPr>
          <w:trHeight w:val="28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285,90</w:t>
            </w:r>
          </w:p>
        </w:tc>
      </w:tr>
      <w:tr w:rsidR="009826CD" w:rsidRPr="009826CD" w:rsidTr="009826CD">
        <w:trPr>
          <w:trHeight w:val="28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371,90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6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826CD" w:rsidRPr="009826CD" w:rsidTr="009826CD">
        <w:trPr>
          <w:trHeight w:val="313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104,20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9826CD" w:rsidRPr="009826CD" w:rsidTr="009826CD">
        <w:trPr>
          <w:trHeight w:val="36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39,10</w:t>
            </w:r>
          </w:p>
        </w:tc>
      </w:tr>
      <w:tr w:rsidR="009826CD" w:rsidRPr="009826CD" w:rsidTr="009826CD">
        <w:trPr>
          <w:trHeight w:val="353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826CD" w:rsidRPr="009826CD" w:rsidTr="009826CD">
        <w:trPr>
          <w:trHeight w:val="43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9826CD" w:rsidRPr="009826CD" w:rsidTr="009826C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выборов в органы местного самоуправления (Специальные расходы)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353,60</w:t>
            </w:r>
          </w:p>
        </w:tc>
      </w:tr>
      <w:tr w:rsidR="009826CD" w:rsidRPr="009826CD" w:rsidTr="009826CD">
        <w:trPr>
          <w:trHeight w:val="183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3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96,60</w:t>
            </w:r>
          </w:p>
        </w:tc>
      </w:tr>
      <w:tr w:rsidR="009826CD" w:rsidRPr="009826CD" w:rsidTr="009826CD">
        <w:trPr>
          <w:trHeight w:val="4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</w:t>
            </w: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9826CD" w:rsidRPr="009826CD" w:rsidTr="009826CD">
        <w:trPr>
          <w:trHeight w:val="28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1 250,40</w:t>
            </w:r>
          </w:p>
        </w:tc>
      </w:tr>
      <w:tr w:rsidR="009826CD" w:rsidRPr="009826CD" w:rsidTr="009826CD">
        <w:trPr>
          <w:trHeight w:val="25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39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9826CD" w:rsidRPr="009826CD" w:rsidTr="009826CD">
        <w:trPr>
          <w:trHeight w:val="36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25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(Специальные расходы)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503,10</w:t>
            </w:r>
          </w:p>
        </w:tc>
      </w:tr>
      <w:tr w:rsidR="009826CD" w:rsidRPr="009826CD" w:rsidTr="009826CD">
        <w:trPr>
          <w:trHeight w:val="1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CD" w:rsidRPr="009826CD" w:rsidTr="009826CD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13 499,90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CD" w:rsidRPr="009826CD" w:rsidRDefault="009826CD" w:rsidP="009826C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35 134,80</w:t>
            </w:r>
          </w:p>
        </w:tc>
      </w:tr>
    </w:tbl>
    <w:p w:rsidR="00C57F0C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FE6804" w:rsidRDefault="00FE6804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FE6804">
        <w:rPr>
          <w:rFonts w:ascii="Times New Roman" w:hAnsi="Times New Roman"/>
          <w:sz w:val="28"/>
          <w:szCs w:val="28"/>
        </w:rPr>
        <w:t>6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BE3F4E">
        <w:rPr>
          <w:rFonts w:ascii="Times New Roman" w:hAnsi="Times New Roman"/>
          <w:sz w:val="28"/>
          <w:szCs w:val="28"/>
        </w:rPr>
        <w:t>4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 w:rsidR="00BE3F4E">
        <w:rPr>
          <w:rFonts w:ascii="Times New Roman" w:hAnsi="Times New Roman"/>
          <w:sz w:val="28"/>
          <w:szCs w:val="28"/>
        </w:rPr>
        <w:t>5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BE3F4E">
        <w:rPr>
          <w:rFonts w:ascii="Times New Roman" w:hAnsi="Times New Roman"/>
          <w:sz w:val="28"/>
          <w:szCs w:val="28"/>
        </w:rPr>
        <w:t>6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494A52" w:rsidRDefault="00C57F0C" w:rsidP="00216D11"/>
    <w:p w:rsidR="00C57F0C" w:rsidRPr="00182D15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>Объем и распределение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D15">
        <w:rPr>
          <w:rFonts w:ascii="Times New Roman" w:hAnsi="Times New Roman" w:cs="Times New Roman"/>
          <w:sz w:val="28"/>
          <w:szCs w:val="28"/>
        </w:rPr>
        <w:t xml:space="preserve">передаваемых бюджету муниципального района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182D15">
        <w:rPr>
          <w:rFonts w:ascii="Times New Roman" w:hAnsi="Times New Roman" w:cs="Times New Roman"/>
          <w:sz w:val="28"/>
          <w:szCs w:val="28"/>
        </w:rPr>
        <w:t xml:space="preserve">  сельского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BE3F4E">
        <w:rPr>
          <w:rFonts w:ascii="Times New Roman" w:hAnsi="Times New Roman" w:cs="Times New Roman"/>
          <w:sz w:val="28"/>
          <w:szCs w:val="28"/>
        </w:rPr>
        <w:t>4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3F4E">
        <w:rPr>
          <w:rFonts w:ascii="Times New Roman" w:hAnsi="Times New Roman" w:cs="Times New Roman"/>
          <w:sz w:val="28"/>
          <w:szCs w:val="28"/>
        </w:rPr>
        <w:t>5</w:t>
      </w:r>
      <w:r w:rsidRPr="00182D15">
        <w:rPr>
          <w:rFonts w:ascii="Times New Roman" w:hAnsi="Times New Roman" w:cs="Times New Roman"/>
          <w:sz w:val="28"/>
          <w:szCs w:val="28"/>
        </w:rPr>
        <w:t xml:space="preserve"> и 202</w:t>
      </w:r>
      <w:r w:rsidR="00BE3F4E">
        <w:rPr>
          <w:rFonts w:ascii="Times New Roman" w:hAnsi="Times New Roman" w:cs="Times New Roman"/>
          <w:sz w:val="28"/>
          <w:szCs w:val="28"/>
        </w:rPr>
        <w:t>6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</w:t>
      </w:r>
      <w:r w:rsidRPr="00182D1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  <w:gridCol w:w="2082"/>
        <w:gridCol w:w="1843"/>
        <w:gridCol w:w="1887"/>
      </w:tblGrid>
      <w:tr w:rsidR="00C57F0C" w:rsidRPr="0034456F" w:rsidTr="004F6470">
        <w:trPr>
          <w:trHeight w:val="768"/>
        </w:trPr>
        <w:tc>
          <w:tcPr>
            <w:tcW w:w="9180" w:type="dxa"/>
          </w:tcPr>
          <w:p w:rsidR="00C57F0C" w:rsidRPr="004F6470" w:rsidRDefault="00C57F0C" w:rsidP="004F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5812" w:type="dxa"/>
            <w:gridSpan w:val="3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7F0C" w:rsidRPr="004F6470" w:rsidRDefault="00C57F0C" w:rsidP="00C33C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57F0C" w:rsidRPr="004F6470" w:rsidRDefault="00C57F0C" w:rsidP="00C33C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C57F0C" w:rsidRPr="004F6470" w:rsidRDefault="00C57F0C" w:rsidP="00C33C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18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82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843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87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57F0C" w:rsidRPr="0034456F" w:rsidTr="00114FAA">
        <w:trPr>
          <w:trHeight w:val="423"/>
        </w:trPr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2082" w:type="dxa"/>
          </w:tcPr>
          <w:p w:rsidR="00C57F0C" w:rsidRPr="004F6470" w:rsidRDefault="00BE3F4E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843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7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2082" w:type="dxa"/>
          </w:tcPr>
          <w:p w:rsidR="00C57F0C" w:rsidRPr="004F6470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843" w:type="dxa"/>
          </w:tcPr>
          <w:p w:rsidR="00C57F0C" w:rsidRPr="004F6470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87" w:type="dxa"/>
          </w:tcPr>
          <w:p w:rsidR="00C57F0C" w:rsidRPr="004F6470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</w:tbl>
    <w:p w:rsidR="00C57F0C" w:rsidRPr="00B44DC8" w:rsidRDefault="00C57F0C" w:rsidP="00182D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FE6804">
        <w:rPr>
          <w:rFonts w:ascii="Times New Roman" w:hAnsi="Times New Roman"/>
          <w:sz w:val="28"/>
          <w:szCs w:val="28"/>
        </w:rPr>
        <w:t>7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BD36FC"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плановый период </w:t>
      </w:r>
      <w:r w:rsidR="00C33C14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202</w:t>
      </w:r>
      <w:r w:rsidR="00BD36FC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BD36FC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F965C6" w:rsidRDefault="00C57F0C" w:rsidP="00127030">
      <w:pPr>
        <w:pStyle w:val="13"/>
        <w:rPr>
          <w:rFonts w:ascii="Times New Roman" w:hAnsi="Times New Roman"/>
          <w:sz w:val="28"/>
          <w:szCs w:val="28"/>
        </w:rPr>
      </w:pPr>
    </w:p>
    <w:p w:rsidR="00C57F0C" w:rsidRPr="00A770E1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Программа</w:t>
      </w:r>
    </w:p>
    <w:p w:rsidR="00C57F0C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</w:t>
      </w:r>
      <w:r w:rsidR="00BD36FC">
        <w:rPr>
          <w:rFonts w:ascii="Times New Roman" w:hAnsi="Times New Roman"/>
          <w:sz w:val="28"/>
          <w:szCs w:val="28"/>
        </w:rPr>
        <w:t>4</w:t>
      </w:r>
      <w:r w:rsidRPr="00A770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D36FC">
        <w:rPr>
          <w:rFonts w:ascii="Times New Roman" w:hAnsi="Times New Roman"/>
          <w:sz w:val="28"/>
          <w:szCs w:val="28"/>
        </w:rPr>
        <w:t>5</w:t>
      </w:r>
      <w:r w:rsidRPr="00A770E1">
        <w:rPr>
          <w:rFonts w:ascii="Times New Roman" w:hAnsi="Times New Roman"/>
          <w:sz w:val="28"/>
          <w:szCs w:val="28"/>
        </w:rPr>
        <w:t xml:space="preserve"> и 202</w:t>
      </w:r>
      <w:r w:rsidR="00BD36FC">
        <w:rPr>
          <w:rFonts w:ascii="Times New Roman" w:hAnsi="Times New Roman"/>
          <w:sz w:val="28"/>
          <w:szCs w:val="28"/>
        </w:rPr>
        <w:t>6</w:t>
      </w:r>
      <w:r w:rsidRPr="00A770E1"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A770E1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A03C9C">
      <w:pPr>
        <w:pStyle w:val="13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</w:t>
      </w:r>
      <w:r w:rsidR="00BD36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 период 202</w:t>
      </w:r>
      <w:r w:rsidR="00BD36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D36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F965C6" w:rsidRDefault="00C57F0C" w:rsidP="00A03C9C">
      <w:pPr>
        <w:pStyle w:val="13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57F0C" w:rsidRPr="00F965C6" w:rsidRDefault="00C57F0C" w:rsidP="00A03C9C">
      <w:pPr>
        <w:pStyle w:val="13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BD36FC"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E663A3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720C99" w:rsidRDefault="00C57F0C" w:rsidP="00A03C9C">
      <w:pPr>
        <w:pStyle w:val="14"/>
        <w:numPr>
          <w:ilvl w:val="1"/>
          <w:numId w:val="6"/>
        </w:numPr>
        <w:ind w:left="1134" w:firstLine="0"/>
      </w:pPr>
      <w:r w:rsidRPr="00720C99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E663A3">
        <w:rPr>
          <w:rFonts w:ascii="Times New Roman" w:hAnsi="Times New Roman"/>
          <w:sz w:val="28"/>
          <w:szCs w:val="28"/>
        </w:rPr>
        <w:t>4</w:t>
      </w:r>
      <w:r w:rsidRPr="00720C99">
        <w:rPr>
          <w:rFonts w:ascii="Times New Roman" w:hAnsi="Times New Roman"/>
          <w:sz w:val="28"/>
          <w:szCs w:val="28"/>
        </w:rPr>
        <w:t>году и в плановом периоде 202</w:t>
      </w:r>
      <w:r w:rsidR="00E663A3">
        <w:rPr>
          <w:rFonts w:ascii="Times New Roman" w:hAnsi="Times New Roman"/>
          <w:sz w:val="28"/>
          <w:szCs w:val="28"/>
        </w:rPr>
        <w:t>5</w:t>
      </w:r>
      <w:r w:rsidRPr="00720C99"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 w:rsidRPr="00720C99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C57F0C" w:rsidRDefault="00C57F0C" w:rsidP="00547624">
      <w:pPr>
        <w:pStyle w:val="13"/>
        <w:numPr>
          <w:ilvl w:val="0"/>
          <w:numId w:val="6"/>
        </w:numPr>
        <w:tabs>
          <w:tab w:val="left" w:pos="85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</w:t>
      </w:r>
      <w:r w:rsidR="00E663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 период 202</w:t>
      </w:r>
      <w:r w:rsidR="00E663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Default="00C57F0C" w:rsidP="00A03C9C">
      <w:pPr>
        <w:pStyle w:val="13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20C99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 w:rsidR="009F4710">
        <w:rPr>
          <w:rFonts w:ascii="Times New Roman" w:hAnsi="Times New Roman"/>
          <w:sz w:val="28"/>
          <w:szCs w:val="28"/>
        </w:rPr>
        <w:t>2</w:t>
      </w:r>
      <w:r w:rsidR="00E663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году и в плановом периоде 202</w:t>
      </w:r>
      <w:r w:rsidR="00E663A3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0F4917" w:rsidRDefault="00C57F0C" w:rsidP="009F4710">
      <w:pPr>
        <w:pStyle w:val="14"/>
        <w:numPr>
          <w:ilvl w:val="1"/>
          <w:numId w:val="6"/>
        </w:numPr>
        <w:tabs>
          <w:tab w:val="left" w:pos="1134"/>
        </w:tabs>
        <w:suppressAutoHyphens w:val="0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0F4917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E663A3">
        <w:rPr>
          <w:rFonts w:ascii="Times New Roman" w:hAnsi="Times New Roman"/>
          <w:sz w:val="28"/>
          <w:szCs w:val="28"/>
        </w:rPr>
        <w:t>4</w:t>
      </w:r>
      <w:r w:rsidRPr="000F4917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E663A3">
        <w:rPr>
          <w:rFonts w:ascii="Times New Roman" w:hAnsi="Times New Roman"/>
          <w:sz w:val="28"/>
          <w:szCs w:val="28"/>
        </w:rPr>
        <w:t>5</w:t>
      </w:r>
      <w:r w:rsidR="009F4710">
        <w:rPr>
          <w:rFonts w:ascii="Times New Roman" w:hAnsi="Times New Roman"/>
          <w:sz w:val="28"/>
          <w:szCs w:val="28"/>
        </w:rPr>
        <w:t xml:space="preserve"> и 202</w:t>
      </w:r>
      <w:r w:rsidR="00E663A3">
        <w:rPr>
          <w:rFonts w:ascii="Times New Roman" w:hAnsi="Times New Roman"/>
          <w:sz w:val="28"/>
          <w:szCs w:val="28"/>
        </w:rPr>
        <w:t>6</w:t>
      </w:r>
      <w:r w:rsidRPr="000F4917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C57F0C" w:rsidRPr="00720C99" w:rsidRDefault="00C57F0C" w:rsidP="00720C99">
      <w:pPr>
        <w:pStyle w:val="13"/>
        <w:tabs>
          <w:tab w:val="left" w:pos="567"/>
        </w:tabs>
        <w:ind w:left="450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720C99">
      <w:pPr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0F2563">
      <w:pPr>
        <w:framePr w:h="8940" w:hRule="exact" w:wrap="auto" w:hAnchor="text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8F" w:rsidRDefault="005C5B8F" w:rsidP="001E3D6E">
      <w:pPr>
        <w:spacing w:after="0" w:line="240" w:lineRule="auto"/>
      </w:pPr>
      <w:r>
        <w:separator/>
      </w:r>
    </w:p>
  </w:endnote>
  <w:endnote w:type="continuationSeparator" w:id="0">
    <w:p w:rsidR="005C5B8F" w:rsidRDefault="005C5B8F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8F" w:rsidRDefault="005C5B8F" w:rsidP="001E3D6E">
      <w:pPr>
        <w:spacing w:after="0" w:line="240" w:lineRule="auto"/>
      </w:pPr>
      <w:r>
        <w:separator/>
      </w:r>
    </w:p>
  </w:footnote>
  <w:footnote w:type="continuationSeparator" w:id="0">
    <w:p w:rsidR="005C5B8F" w:rsidRDefault="005C5B8F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452C"/>
    <w:rsid w:val="000167C0"/>
    <w:rsid w:val="00017494"/>
    <w:rsid w:val="000232AC"/>
    <w:rsid w:val="00025201"/>
    <w:rsid w:val="0003428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79B2"/>
    <w:rsid w:val="000E10EC"/>
    <w:rsid w:val="000E234E"/>
    <w:rsid w:val="000E51C7"/>
    <w:rsid w:val="000F2563"/>
    <w:rsid w:val="000F4917"/>
    <w:rsid w:val="00106659"/>
    <w:rsid w:val="001119CF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4751"/>
    <w:rsid w:val="001451A5"/>
    <w:rsid w:val="00145405"/>
    <w:rsid w:val="001502BE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A3DF4"/>
    <w:rsid w:val="001A3EB8"/>
    <w:rsid w:val="001A6CFA"/>
    <w:rsid w:val="001B2949"/>
    <w:rsid w:val="001C1A09"/>
    <w:rsid w:val="001D17C0"/>
    <w:rsid w:val="001D5909"/>
    <w:rsid w:val="001E062B"/>
    <w:rsid w:val="001E099B"/>
    <w:rsid w:val="001E11F8"/>
    <w:rsid w:val="001E3D6E"/>
    <w:rsid w:val="001E6E64"/>
    <w:rsid w:val="001F31EB"/>
    <w:rsid w:val="001F5A10"/>
    <w:rsid w:val="001F65C0"/>
    <w:rsid w:val="00207D92"/>
    <w:rsid w:val="002130FF"/>
    <w:rsid w:val="00215562"/>
    <w:rsid w:val="00216D11"/>
    <w:rsid w:val="00216D8C"/>
    <w:rsid w:val="00220BCF"/>
    <w:rsid w:val="0023067A"/>
    <w:rsid w:val="002451EC"/>
    <w:rsid w:val="002456D3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3525"/>
    <w:rsid w:val="003741B1"/>
    <w:rsid w:val="00374253"/>
    <w:rsid w:val="003747D4"/>
    <w:rsid w:val="0037702B"/>
    <w:rsid w:val="00381F6E"/>
    <w:rsid w:val="00392058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F16E6"/>
    <w:rsid w:val="003F29D6"/>
    <w:rsid w:val="003F5FAB"/>
    <w:rsid w:val="003F64C0"/>
    <w:rsid w:val="003F68F9"/>
    <w:rsid w:val="00403095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4E2"/>
    <w:rsid w:val="00451D21"/>
    <w:rsid w:val="00454B33"/>
    <w:rsid w:val="00456117"/>
    <w:rsid w:val="00460D67"/>
    <w:rsid w:val="0046495F"/>
    <w:rsid w:val="00465527"/>
    <w:rsid w:val="00471ABC"/>
    <w:rsid w:val="004766DC"/>
    <w:rsid w:val="00493344"/>
    <w:rsid w:val="00494A52"/>
    <w:rsid w:val="004970D3"/>
    <w:rsid w:val="004A1AE8"/>
    <w:rsid w:val="004A329F"/>
    <w:rsid w:val="004B0264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FE0"/>
    <w:rsid w:val="005075F3"/>
    <w:rsid w:val="005124AF"/>
    <w:rsid w:val="00517180"/>
    <w:rsid w:val="00517CB7"/>
    <w:rsid w:val="00517D72"/>
    <w:rsid w:val="005212CB"/>
    <w:rsid w:val="00522A4F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3D4E"/>
    <w:rsid w:val="00557006"/>
    <w:rsid w:val="005578E6"/>
    <w:rsid w:val="00560033"/>
    <w:rsid w:val="005617DE"/>
    <w:rsid w:val="005623C3"/>
    <w:rsid w:val="0057350E"/>
    <w:rsid w:val="00573900"/>
    <w:rsid w:val="00574139"/>
    <w:rsid w:val="005840A2"/>
    <w:rsid w:val="005855C6"/>
    <w:rsid w:val="005871C7"/>
    <w:rsid w:val="005933B1"/>
    <w:rsid w:val="00596FD4"/>
    <w:rsid w:val="005A2D7E"/>
    <w:rsid w:val="005A5E7E"/>
    <w:rsid w:val="005B465C"/>
    <w:rsid w:val="005B5275"/>
    <w:rsid w:val="005B56E1"/>
    <w:rsid w:val="005B6369"/>
    <w:rsid w:val="005C3DFC"/>
    <w:rsid w:val="005C5231"/>
    <w:rsid w:val="005C5B8F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5F10"/>
    <w:rsid w:val="0069372A"/>
    <w:rsid w:val="00696F1B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3D95"/>
    <w:rsid w:val="00727872"/>
    <w:rsid w:val="00731ECF"/>
    <w:rsid w:val="00732574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7ED2"/>
    <w:rsid w:val="00770EFD"/>
    <w:rsid w:val="00774151"/>
    <w:rsid w:val="00774808"/>
    <w:rsid w:val="00776C45"/>
    <w:rsid w:val="00777011"/>
    <w:rsid w:val="007810FE"/>
    <w:rsid w:val="00783BAB"/>
    <w:rsid w:val="0078514B"/>
    <w:rsid w:val="007944C1"/>
    <w:rsid w:val="00796410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4D58"/>
    <w:rsid w:val="00810B9B"/>
    <w:rsid w:val="00810CE7"/>
    <w:rsid w:val="00816F4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91737"/>
    <w:rsid w:val="00892CE6"/>
    <w:rsid w:val="00893BBB"/>
    <w:rsid w:val="00895001"/>
    <w:rsid w:val="00895478"/>
    <w:rsid w:val="00897D72"/>
    <w:rsid w:val="008A01FD"/>
    <w:rsid w:val="008A5AFE"/>
    <w:rsid w:val="008B2399"/>
    <w:rsid w:val="008B2D97"/>
    <w:rsid w:val="008B2DB6"/>
    <w:rsid w:val="008B2FAA"/>
    <w:rsid w:val="008B47C3"/>
    <w:rsid w:val="008B790E"/>
    <w:rsid w:val="008D5F22"/>
    <w:rsid w:val="008D63A3"/>
    <w:rsid w:val="008E0142"/>
    <w:rsid w:val="008E10B4"/>
    <w:rsid w:val="008E1622"/>
    <w:rsid w:val="008E3C49"/>
    <w:rsid w:val="008E61D1"/>
    <w:rsid w:val="008F38EE"/>
    <w:rsid w:val="008F57FC"/>
    <w:rsid w:val="00900371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4014"/>
    <w:rsid w:val="00A1766F"/>
    <w:rsid w:val="00A177CB"/>
    <w:rsid w:val="00A23821"/>
    <w:rsid w:val="00A265AD"/>
    <w:rsid w:val="00A3012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F43"/>
    <w:rsid w:val="00A652FC"/>
    <w:rsid w:val="00A770E1"/>
    <w:rsid w:val="00A77905"/>
    <w:rsid w:val="00A810C7"/>
    <w:rsid w:val="00A81880"/>
    <w:rsid w:val="00A819FE"/>
    <w:rsid w:val="00A82066"/>
    <w:rsid w:val="00A86FC7"/>
    <w:rsid w:val="00A92117"/>
    <w:rsid w:val="00A93C60"/>
    <w:rsid w:val="00AA307B"/>
    <w:rsid w:val="00AA34A0"/>
    <w:rsid w:val="00AA37FB"/>
    <w:rsid w:val="00AA4E29"/>
    <w:rsid w:val="00AA5771"/>
    <w:rsid w:val="00AA5952"/>
    <w:rsid w:val="00AB03A8"/>
    <w:rsid w:val="00AB123C"/>
    <w:rsid w:val="00AB3414"/>
    <w:rsid w:val="00AC4342"/>
    <w:rsid w:val="00AC701B"/>
    <w:rsid w:val="00AC7758"/>
    <w:rsid w:val="00AD0CB1"/>
    <w:rsid w:val="00AE1CD6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7B97"/>
    <w:rsid w:val="00B133ED"/>
    <w:rsid w:val="00B17D8C"/>
    <w:rsid w:val="00B24A40"/>
    <w:rsid w:val="00B270FE"/>
    <w:rsid w:val="00B300A4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1210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42C"/>
    <w:rsid w:val="00D61C9F"/>
    <w:rsid w:val="00D752E6"/>
    <w:rsid w:val="00D75476"/>
    <w:rsid w:val="00D81FCA"/>
    <w:rsid w:val="00D9401E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34C3"/>
    <w:rsid w:val="00E05B5A"/>
    <w:rsid w:val="00E071CE"/>
    <w:rsid w:val="00E079FB"/>
    <w:rsid w:val="00E13D9A"/>
    <w:rsid w:val="00E14BAA"/>
    <w:rsid w:val="00E226A1"/>
    <w:rsid w:val="00E23214"/>
    <w:rsid w:val="00E23462"/>
    <w:rsid w:val="00E27D2B"/>
    <w:rsid w:val="00E27E6A"/>
    <w:rsid w:val="00E310BB"/>
    <w:rsid w:val="00E32A1B"/>
    <w:rsid w:val="00E341C7"/>
    <w:rsid w:val="00E3600E"/>
    <w:rsid w:val="00E36444"/>
    <w:rsid w:val="00E36C18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3394"/>
    <w:rsid w:val="00EB3869"/>
    <w:rsid w:val="00EC49FE"/>
    <w:rsid w:val="00ED1CDE"/>
    <w:rsid w:val="00ED420F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6C89"/>
    <w:rsid w:val="00F45461"/>
    <w:rsid w:val="00F46174"/>
    <w:rsid w:val="00F471FC"/>
    <w:rsid w:val="00F54522"/>
    <w:rsid w:val="00F60830"/>
    <w:rsid w:val="00F7019E"/>
    <w:rsid w:val="00F73013"/>
    <w:rsid w:val="00F8234B"/>
    <w:rsid w:val="00F83486"/>
    <w:rsid w:val="00F841CE"/>
    <w:rsid w:val="00F84510"/>
    <w:rsid w:val="00F8515F"/>
    <w:rsid w:val="00F90879"/>
    <w:rsid w:val="00F91085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78DB6"/>
  <w15:docId w15:val="{AF349A8F-0C68-43D7-AB8A-540B378A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3A1C-4DB9-45D3-BC17-402F3556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12245</Words>
  <Characters>69801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81883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3</cp:revision>
  <cp:lastPrinted>2023-12-27T05:54:00Z</cp:lastPrinted>
  <dcterms:created xsi:type="dcterms:W3CDTF">2025-01-20T08:10:00Z</dcterms:created>
  <dcterms:modified xsi:type="dcterms:W3CDTF">2025-01-20T08:10:00Z</dcterms:modified>
</cp:coreProperties>
</file>